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Mathematical</w:t>
      </w:r>
      <w:r>
        <w:t xml:space="preserve"> </w:t>
      </w:r>
      <w:r>
        <w:t xml:space="preserve">Consulting</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invoice"/>
    <w:p>
      <w:pPr>
        <w:pStyle w:val="Heading1"/>
      </w:pPr>
      <w:r>
        <w:t xml:space="preserve">INVOICE</w:t>
      </w:r>
    </w:p>
    <w:p>
      <w:pPr>
        <w:pStyle w:val="FirstParagraph"/>
      </w:pPr>
      <w:r>
        <w:t xml:space="preserve">Mathematical Consulting &amp; Analytical Services</w:t>
      </w:r>
    </w:p>
    <w:p>
      <w:pPr>
        <w:pStyle w:val="BodyText"/>
      </w:pPr>
      <w:r>
        <w:t xml:space="preserve">Munich, Germany — Professional Mathematical Advisory</w:t>
      </w:r>
    </w:p>
    <w:bookmarkEnd w:id="20"/>
    <w:bookmarkStart w:id="21" w:name="issued-by-mathematician"/>
    <w:p>
      <w:pPr>
        <w:pStyle w:val="Heading3"/>
      </w:pPr>
      <w:r>
        <w:t xml:space="preserve">Issued By (Mathematician)</w:t>
      </w:r>
    </w:p>
    <w:p>
      <w:pPr>
        <w:pStyle w:val="FirstParagraph"/>
      </w:pPr>
      <w:r>
        <w:rPr>
          <w:bCs/>
          <w:b/>
        </w:rPr>
        <w:t xml:space="preserve">Dr. Heinrich Vogel</w:t>
      </w:r>
    </w:p>
    <w:p>
      <w:pPr>
        <w:pStyle w:val="BodyText"/>
      </w:pPr>
      <w:r>
        <w:t xml:space="preserve">Senior Mathematician &amp; Quantitative Analyst</w:t>
      </w:r>
    </w:p>
    <w:p>
      <w:pPr>
        <w:pStyle w:val="BodyText"/>
      </w:pPr>
      <w:r>
        <w:t xml:space="preserve">Vogel Mathematical Consulting GmbH</w:t>
      </w:r>
    </w:p>
    <w:p>
      <w:pPr>
        <w:pStyle w:val="BodyText"/>
      </w:pPr>
      <w:r>
        <w:t xml:space="preserve">Maximilianstraße 42, 80539 Munich, Germany</w:t>
      </w:r>
    </w:p>
    <w:p>
      <w:pPr>
        <w:pStyle w:val="BodyText"/>
      </w:pPr>
      <w:r>
        <w:t xml:space="preserve">Phone: +49 89 5550 1234</w:t>
      </w:r>
    </w:p>
    <w:p>
      <w:pPr>
        <w:pStyle w:val="BodyText"/>
      </w:pPr>
      <w:r>
        <w:t xml:space="preserve">Email: h.vogel@vogel-math-consulting.de</w:t>
      </w:r>
    </w:p>
    <w:p>
      <w:pPr>
        <w:pStyle w:val="BodyText"/>
      </w:pPr>
      <w:r>
        <w:t xml:space="preserve">VAT ID (USt-IdNr.): DE 318 456 721</w:t>
      </w:r>
    </w:p>
    <w:p>
      <w:pPr>
        <w:pStyle w:val="BodyText"/>
      </w:pPr>
      <w:r>
        <w:t xml:space="preserve">HRB 245 891, Amtsgericht München</w:t>
      </w:r>
    </w:p>
    <w:bookmarkEnd w:id="21"/>
    <w:bookmarkStart w:id="22" w:name="billed-to-client"/>
    <w:p>
      <w:pPr>
        <w:pStyle w:val="Heading3"/>
      </w:pPr>
      <w:r>
        <w:t xml:space="preserve">Billed To (Client)</w:t>
      </w:r>
    </w:p>
    <w:p>
      <w:pPr>
        <w:pStyle w:val="FirstParagraph"/>
      </w:pPr>
      <w:r>
        <w:rPr>
          <w:bCs/>
          <w:b/>
        </w:rPr>
        <w:t xml:space="preserve">Bavarian Industrial Analytics AG</w:t>
      </w:r>
    </w:p>
    <w:p>
      <w:pPr>
        <w:pStyle w:val="BodyText"/>
      </w:pPr>
      <w:r>
        <w:t xml:space="preserve">Attn: Dr. Sabine Krüger, Head of R&amp;D</w:t>
      </w:r>
    </w:p>
    <w:p>
      <w:pPr>
        <w:pStyle w:val="BodyText"/>
      </w:pPr>
      <w:r>
        <w:t xml:space="preserve">Leopoldstraße 18, 80802 Munich, Germany</w:t>
      </w:r>
    </w:p>
    <w:p>
      <w:pPr>
        <w:pStyle w:val="BodyText"/>
      </w:pPr>
      <w:r>
        <w:t xml:space="preserve">Phone: +49 89 7744 5500</w:t>
      </w:r>
    </w:p>
    <w:p>
      <w:pPr>
        <w:pStyle w:val="BodyText"/>
      </w:pPr>
      <w:r>
        <w:t xml:space="preserve">Email: s.krueger@bavarian-industrial.de</w:t>
      </w:r>
    </w:p>
    <w:p>
      <w:pPr>
        <w:pStyle w:val="BodyText"/>
      </w:pPr>
      <w:r>
        <w:t xml:space="preserve">VAT ID (USt-IdNr.): DE 294 112 883</w:t>
      </w:r>
    </w:p>
    <w:bookmarkEnd w:id="22"/>
    <w:p>
      <w:pPr>
        <w:pStyle w:val="BodyText"/>
      </w:pPr>
      <w:r>
        <w:rPr>
          <w:bCs/>
          <w:b/>
        </w:rPr>
        <w:t xml:space="preserve">Invoice Number:</w:t>
      </w:r>
      <w:r>
        <w:t xml:space="preserve"> </w:t>
      </w:r>
      <w:r>
        <w:t xml:space="preserve">VM-2025-0487</w:t>
      </w:r>
    </w:p>
    <w:p>
      <w:pPr>
        <w:pStyle w:val="BodyText"/>
      </w:pPr>
      <w:r>
        <w:rPr>
          <w:bCs/>
          <w:b/>
        </w:rPr>
        <w:t xml:space="preserve">Invoice Date:</w:t>
      </w:r>
      <w:r>
        <w:t xml:space="preserve"> </w:t>
      </w:r>
      <w:r>
        <w:t xml:space="preserve">14 June 2025</w:t>
      </w:r>
    </w:p>
    <w:p>
      <w:pPr>
        <w:pStyle w:val="BodyText"/>
      </w:pPr>
      <w:r>
        <w:rPr>
          <w:bCs/>
          <w:b/>
        </w:rPr>
        <w:t xml:space="preserve">Service Period:</w:t>
      </w:r>
      <w:r>
        <w:t xml:space="preserve"> </w:t>
      </w:r>
      <w:r>
        <w:t xml:space="preserve">01 April 2025 – 31 May 2025</w:t>
      </w:r>
    </w:p>
    <w:p>
      <w:pPr>
        <w:pStyle w:val="BodyText"/>
      </w:pPr>
      <w:r>
        <w:rPr>
          <w:bCs/>
          <w:b/>
        </w:rPr>
        <w:t xml:space="preserve">Due Date:</w:t>
      </w:r>
      <w:r>
        <w:t xml:space="preserve"> </w:t>
      </w:r>
      <w:r>
        <w:t xml:space="preserve">14 July 2025 (30 days from Invoice date)</w:t>
      </w:r>
    </w:p>
    <w:p>
      <w:pPr>
        <w:pStyle w:val="BodyText"/>
      </w:pPr>
      <w:r>
        <w:rPr>
          <w:bCs/>
          <w:b/>
        </w:rPr>
        <w:t xml:space="preserve">Payment Reference:</w:t>
      </w:r>
      <w:r>
        <w:t xml:space="preserve"> </w:t>
      </w:r>
      <w:r>
        <w:t xml:space="preserve">VM-2025-0487 / Munich</w:t>
      </w:r>
    </w:p>
    <w:p>
      <w:pPr>
        <w:pStyle w:val="BodyText"/>
      </w:pPr>
      <w:r>
        <w:rPr>
          <w:bCs/>
          <w:b/>
        </w:rPr>
        <w:t xml:space="preserve">Project Code:</w:t>
      </w:r>
      <w:r>
        <w:t xml:space="preserve"> </w:t>
      </w:r>
      <w:r>
        <w:t xml:space="preserve">BIA-MATH-2025-Q2</w:t>
      </w:r>
    </w:p>
    <w:bookmarkStart w:id="25" w:name="Xf119f799c3cd36fa936aca4c7381c8af5d197eb"/>
    <w:p>
      <w:pPr>
        <w:pStyle w:val="Heading2"/>
      </w:pPr>
      <w:r>
        <w:t xml:space="preserve">Description of Mathematical Services Rendered</w:t>
      </w:r>
    </w:p>
    <w:p>
      <w:pPr>
        <w:pStyle w:val="FirstParagraph"/>
      </w:pPr>
      <w:r>
        <w:t xml:space="preserve">This Invoice is issued by Dr. Heinrich Vogel, a certified Mathematician operating out of Germany Munich, in accordance with the professional services agreement dated 15 March 2025 between Vogel Mathematical Consulting GmbH and Bavarian Industrial Analytics AG. The following line items detail the mathematical consulting, analytical modelling, and quantitative research services provided during the stated service period. All work was performed in compliance with German professional standards and the applicable regulations governing mathematical and scientific advisory services in the Federal Republic of Germany.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(19%)</w:t>
            </w:r>
          </w:p>
        </w:tc>
      </w:tr>
      <w:tr>
        <w:tc>
          <w:tcPr/>
          <w:p>
            <w:pPr>
              <w:pStyle w:val="Compact"/>
              <w:jc w:val="left"/>
            </w:pPr>
            <w:r>
              <w:t xml:space="preserve">1</w:t>
            </w:r>
          </w:p>
        </w:tc>
        <w:tc>
          <w:tcPr/>
          <w:p>
            <w:pPr>
              <w:pStyle w:val="Compact"/>
              <w:jc w:val="left"/>
            </w:pPr>
            <w:r>
              <w:t xml:space="preserve">Advanced stochastic modelling and probabilistic risk analysis for industrial supply-chain optimisation. The Mathematician developed a comprehensive Monte Carlo simulation framework incorporating multivariate normal distributions and copula-based dependency structures.</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c>
          <w:tcPr/>
          <w:p>
            <w:pPr>
              <w:pStyle w:val="Compact"/>
              <w:jc w:val="left"/>
            </w:pPr>
            <w:r>
              <w:t xml:space="preserve">1,687.20</w:t>
            </w:r>
          </w:p>
        </w:tc>
      </w:tr>
      <w:tr>
        <w:tc>
          <w:tcPr/>
          <w:p>
            <w:pPr>
              <w:pStyle w:val="Compact"/>
              <w:jc w:val="left"/>
            </w:pPr>
            <w:r>
              <w:t xml:space="preserve">2</w:t>
            </w:r>
          </w:p>
        </w:tc>
        <w:tc>
          <w:tcPr/>
          <w:p>
            <w:pPr>
              <w:pStyle w:val="Compact"/>
              <w:jc w:val="left"/>
            </w:pPr>
            <w:r>
              <w:t xml:space="preserve">Partial differential equation (PDE) formulation and numerical solution for thermal dynamics in manufacturing processes. Includes finite-element method implementation and convergence verification.</w:t>
            </w:r>
          </w:p>
        </w:tc>
        <w:tc>
          <w:tcPr/>
          <w:p>
            <w:pPr>
              <w:pStyle w:val="Compact"/>
              <w:jc w:val="left"/>
            </w:pPr>
            <w:r>
              <w:t xml:space="preserve">36</w:t>
            </w:r>
          </w:p>
        </w:tc>
        <w:tc>
          <w:tcPr/>
          <w:p>
            <w:pPr>
              <w:pStyle w:val="Compact"/>
              <w:jc w:val="left"/>
            </w:pPr>
            <w:r>
              <w:t xml:space="preserve">185.00</w:t>
            </w:r>
          </w:p>
        </w:tc>
        <w:tc>
          <w:tcPr/>
          <w:p>
            <w:pPr>
              <w:pStyle w:val="Compact"/>
              <w:jc w:val="left"/>
            </w:pPr>
            <w:r>
              <w:t xml:space="preserve">6,660.00</w:t>
            </w:r>
          </w:p>
        </w:tc>
        <w:tc>
          <w:tcPr/>
          <w:p>
            <w:pPr>
              <w:pStyle w:val="Compact"/>
              <w:jc w:val="left"/>
            </w:pPr>
            <w:r>
              <w:t xml:space="preserve">1,265.40</w:t>
            </w:r>
          </w:p>
        </w:tc>
      </w:tr>
      <w:tr>
        <w:tc>
          <w:tcPr/>
          <w:p>
            <w:pPr>
              <w:pStyle w:val="Compact"/>
              <w:jc w:val="left"/>
            </w:pPr>
            <w:r>
              <w:t xml:space="preserve">3</w:t>
            </w:r>
          </w:p>
        </w:tc>
        <w:tc>
          <w:tcPr/>
          <w:p>
            <w:pPr>
              <w:pStyle w:val="Compact"/>
              <w:jc w:val="left"/>
            </w:pPr>
            <w:r>
              <w:t xml:space="preserve">Optimisation theory consultation: integer linear programming and convex optimisation strategies for production scheduling. The Mathematician provided theoretical proofs of optimality and algorithmic complexity analysis.</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c>
          <w:tcPr/>
          <w:p>
            <w:pPr>
              <w:pStyle w:val="Compact"/>
              <w:jc w:val="left"/>
            </w:pPr>
            <w:r>
              <w:t xml:space="preserve">843.60</w:t>
            </w:r>
          </w:p>
        </w:tc>
      </w:tr>
      <w:tr>
        <w:tc>
          <w:tcPr/>
          <w:p>
            <w:pPr>
              <w:pStyle w:val="Compact"/>
              <w:jc w:val="left"/>
            </w:pPr>
            <w:r>
              <w:t xml:space="preserve">4</w:t>
            </w:r>
          </w:p>
        </w:tc>
        <w:tc>
          <w:tcPr/>
          <w:p>
            <w:pPr>
              <w:pStyle w:val="Compact"/>
              <w:jc w:val="left"/>
            </w:pPr>
            <w:r>
              <w:t xml:space="preserve">Statistical inference and Bayesian hypothesis testing for quality-control data. Includes posterior distribution derivation, credible interval computation, and model selection via Bayes factors.</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c>
          <w:tcPr/>
          <w:p>
            <w:pPr>
              <w:pStyle w:val="Compact"/>
              <w:jc w:val="left"/>
            </w:pPr>
            <w:r>
              <w:t xml:space="preserve">703.00</w:t>
            </w:r>
          </w:p>
        </w:tc>
      </w:tr>
      <w:tr>
        <w:tc>
          <w:tcPr/>
          <w:p>
            <w:pPr>
              <w:pStyle w:val="Compact"/>
              <w:jc w:val="left"/>
            </w:pPr>
            <w:r>
              <w:t xml:space="preserve">5</w:t>
            </w:r>
          </w:p>
        </w:tc>
        <w:tc>
          <w:tcPr/>
          <w:p>
            <w:pPr>
              <w:pStyle w:val="Compact"/>
              <w:jc w:val="left"/>
            </w:pPr>
            <w:r>
              <w:t xml:space="preserve">Preparation of a 45-page technical mathematical report documenting all derivations, theorems, proofs, and computational results for the Q2 2025 project cycle. Delivered in LaTeX and PDF format.</w:t>
            </w:r>
          </w:p>
        </w:tc>
        <w:tc>
          <w:tcPr/>
          <w:p>
            <w:pPr>
              <w:pStyle w:val="Compact"/>
              <w:jc w:val="left"/>
            </w:pPr>
            <w:r>
              <w:t xml:space="preserve">16</w:t>
            </w:r>
          </w:p>
        </w:tc>
        <w:tc>
          <w:tcPr/>
          <w:p>
            <w:pPr>
              <w:pStyle w:val="Compact"/>
              <w:jc w:val="left"/>
            </w:pPr>
            <w:r>
              <w:t xml:space="preserve">185.00</w:t>
            </w:r>
          </w:p>
        </w:tc>
        <w:tc>
          <w:tcPr/>
          <w:p>
            <w:pPr>
              <w:pStyle w:val="Compact"/>
              <w:jc w:val="left"/>
            </w:pPr>
            <w:r>
              <w:t xml:space="preserve">2,960.00</w:t>
            </w:r>
          </w:p>
        </w:tc>
        <w:tc>
          <w:tcPr/>
          <w:p>
            <w:pPr>
              <w:pStyle w:val="Compact"/>
              <w:jc w:val="left"/>
            </w:pPr>
            <w:r>
              <w:t xml:space="preserve">562.40</w:t>
            </w:r>
          </w:p>
        </w:tc>
      </w:tr>
      <w:tr>
        <w:tc>
          <w:tcPr/>
          <w:p>
            <w:pPr>
              <w:pStyle w:val="Compact"/>
              <w:jc w:val="left"/>
            </w:pPr>
            <w:r>
              <w:t xml:space="preserve">6</w:t>
            </w:r>
          </w:p>
        </w:tc>
        <w:tc>
          <w:tcPr/>
          <w:p>
            <w:pPr>
              <w:pStyle w:val="Compact"/>
              <w:jc w:val="left"/>
            </w:pPr>
            <w:r>
              <w:t xml:space="preserve">On-site workshop (2 days) at the client’s Munich headquarters: training of 12 engineering staff on applied linear algebra, matrix decomposition techniques, and eigenvalue analysis relevant to structural engineering calculations.</w:t>
            </w:r>
          </w:p>
        </w:tc>
        <w:tc>
          <w:tcPr/>
          <w:p>
            <w:pPr>
              <w:pStyle w:val="Compact"/>
              <w:jc w:val="left"/>
            </w:pPr>
            <w:r>
              <w:t xml:space="preserve">16</w:t>
            </w:r>
          </w:p>
        </w:tc>
        <w:tc>
          <w:tcPr/>
          <w:p>
            <w:pPr>
              <w:pStyle w:val="Compact"/>
              <w:jc w:val="left"/>
            </w:pPr>
            <w:r>
              <w:t xml:space="preserve">210.00</w:t>
            </w:r>
          </w:p>
        </w:tc>
        <w:tc>
          <w:tcPr/>
          <w:p>
            <w:pPr>
              <w:pStyle w:val="Compact"/>
              <w:jc w:val="left"/>
            </w:pPr>
            <w:r>
              <w:t xml:space="preserve">3,360.00</w:t>
            </w:r>
          </w:p>
        </w:tc>
        <w:tc>
          <w:tcPr/>
          <w:p>
            <w:pPr>
              <w:pStyle w:val="Compact"/>
              <w:jc w:val="left"/>
            </w:pPr>
            <w:r>
              <w:t xml:space="preserve">638.40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(EUR)</w:t>
            </w:r>
          </w:p>
        </w:tc>
      </w:tr>
      <w:tr>
        <w:tc>
          <w:tcPr/>
          <w:p>
            <w:pPr>
              <w:pStyle w:val="Compact"/>
              <w:jc w:val="left"/>
            </w:pPr>
            <w:r>
              <w:t xml:space="preserve">Subtotal (Net)</w:t>
            </w:r>
          </w:p>
        </w:tc>
        <w:tc>
          <w:tcPr/>
          <w:p>
            <w:pPr>
              <w:pStyle w:val="Compact"/>
              <w:jc w:val="left"/>
            </w:pPr>
            <w:r>
              <w:t xml:space="preserve">30,000.00</w:t>
            </w:r>
          </w:p>
        </w:tc>
      </w:tr>
      <w:tr>
        <w:tc>
          <w:tcPr/>
          <w:p>
            <w:pPr>
              <w:pStyle w:val="Compact"/>
              <w:jc w:val="left"/>
            </w:pPr>
            <w:r>
              <w:t xml:space="preserve">VAT 19% (Umsatzsteuer)</w:t>
            </w:r>
          </w:p>
        </w:tc>
        <w:tc>
          <w:tcPr/>
          <w:p>
            <w:pPr>
              <w:pStyle w:val="Compact"/>
              <w:jc w:val="left"/>
            </w:pPr>
            <w:r>
              <w:t xml:space="preserve">5,700.00</w:t>
            </w:r>
          </w:p>
        </w:tc>
      </w:tr>
      <w:tr>
        <w:tc>
          <w:tcPr/>
          <w:p>
            <w:pPr>
              <w:pStyle w:val="Compact"/>
              <w:jc w:val="left"/>
            </w:pPr>
            <w:r>
              <w:t xml:space="preserve">Grand Total (Gross)</w:t>
            </w:r>
          </w:p>
        </w:tc>
        <w:tc>
          <w:tcPr/>
          <w:p>
            <w:pPr>
              <w:pStyle w:val="Compact"/>
              <w:jc w:val="left"/>
            </w:pPr>
            <w:r>
              <w:t xml:space="preserve">35,700.00</w:t>
            </w:r>
          </w:p>
        </w:tc>
      </w:tr>
    </w:tbl>
    <w:bookmarkStart w:id="23" w:name="payment-terms-conditions"/>
    <w:p>
      <w:pPr>
        <w:pStyle w:val="Heading3"/>
      </w:pPr>
      <w:r>
        <w:t xml:space="preserve">Payment Terms &amp; Conditions</w:t>
      </w:r>
    </w:p>
    <w:p>
      <w:pPr>
        <w:numPr>
          <w:ilvl w:val="0"/>
          <w:numId w:val="1001"/>
        </w:numPr>
        <w:pStyle w:val="Compact"/>
      </w:pPr>
      <w:r>
        <w:t xml:space="preserve">This Invoice must be settled in full within 30 calendar days of the Invoice date (14 June 2025) via bank transfer to the account specified below. Late payments are subject to statutory interest at 8 percentage points above the European Central Bank base rate, in accordance with §288 of the German Civil Code (Bürgliches Gesetzbuch).</w:t>
      </w:r>
    </w:p>
    <w:p>
      <w:pPr>
        <w:numPr>
          <w:ilvl w:val="0"/>
          <w:numId w:val="1001"/>
        </w:numPr>
        <w:pStyle w:val="Compact"/>
      </w:pPr>
      <w:r>
        <w:rPr>
          <w:bCs/>
          <w:b/>
        </w:rPr>
        <w:t xml:space="preserve">Bank Details:</w:t>
      </w:r>
      <w:r>
        <w:t xml:space="preserve"> </w:t>
      </w:r>
      <w:r>
        <w:t xml:space="preserve">Vogel Mathematical Consulting GmbH — IBAN: DE89 3704 0044 0532 0130 00 — BIC/SWIFT: COBADEFFXXX — Bank: Comdirect Bank, Hamburg, Germany.</w:t>
      </w:r>
    </w:p>
    <w:p>
      <w:pPr>
        <w:numPr>
          <w:ilvl w:val="0"/>
          <w:numId w:val="1001"/>
        </w:numPr>
        <w:pStyle w:val="Compact"/>
      </w:pPr>
      <w:r>
        <w:t xml:space="preserve">Please quote the Invoice number</w:t>
      </w:r>
      <w:r>
        <w:t xml:space="preserve"> </w:t>
      </w:r>
      <w:r>
        <w:rPr>
          <w:bCs/>
          <w:b/>
        </w:rPr>
        <w:t xml:space="preserve">VM-2025-0487</w:t>
      </w:r>
      <w:r>
        <w:t xml:space="preserve"> </w:t>
      </w:r>
      <w:r>
        <w:t xml:space="preserve">in the payment reference field to ensure correct allocation of funds.</w:t>
      </w:r>
    </w:p>
    <w:p>
      <w:pPr>
        <w:numPr>
          <w:ilvl w:val="0"/>
          <w:numId w:val="1001"/>
        </w:numPr>
        <w:pStyle w:val="Compact"/>
      </w:pPr>
      <w:r>
        <w:t xml:space="preserve">In the event of a dispute regarding any line item on this Invoice, the parties agree to first attempt resolution through good-faith negotiation. Should negotiation fail, the competent court of jurisdiction shall be the local court (Amtsgericht or Landgericht) in Munich, Germany, as stipulated in the master services agreement.</w:t>
      </w:r>
    </w:p>
    <w:p>
      <w:pPr>
        <w:numPr>
          <w:ilvl w:val="0"/>
          <w:numId w:val="1001"/>
        </w:numPr>
        <w:pStyle w:val="Compact"/>
      </w:pPr>
      <w:r>
        <w:t xml:space="preserve">All services described in this Invoice were performed by a qualified Mathematician holding a Doctor of Philosophy (Ph.D.) in Applied Mathematics from the Ludwig Maximilian University of Munich (LMU München). The Mathematician’s professional liability is insured with Allianz Versicherungs-AG, Policy No. ALL-2025-77841, covering the full scope of advisory and consulting activities conducted in Germany Munich and throughout the European Union.</w:t>
      </w:r>
    </w:p>
    <w:bookmarkEnd w:id="23"/>
    <w:bookmarkStart w:id="24" w:name="legal-regulatory-notes"/>
    <w:p>
      <w:pPr>
        <w:pStyle w:val="Heading3"/>
      </w:pPr>
      <w:r>
        <w:t xml:space="preserve">Legal &amp; Regulatory Notes</w:t>
      </w:r>
    </w:p>
    <w:p>
      <w:pPr>
        <w:pStyle w:val="FirstParagraph"/>
      </w:pPr>
      <w:r>
        <w:t xml:space="preserve">This Invoice is issued in accordance with the German Invoice Regulation (Rechnungsstellungsverordnung, §14 UStG) and the requirements of the German Fiscal Code (Abgabenordnung, §14c). The document contains all mandatory elements: the name and address of the Mathematician (issuer) and the client (recipient), the VAT identification numbers of both parties, the date of the Invoice, a unique sequential Invoice number, a description and quantity of services rendered, the date of the taxable event, the net amount, the applicable VAT rate, the VAT amount, and the gross total.</w:t>
      </w:r>
    </w:p>
    <w:p>
      <w:pPr>
        <w:pStyle w:val="BodyText"/>
      </w:pPr>
      <w:r>
        <w:t xml:space="preserve">Vogel Mathematical Consulting GmbH is a registered limited liability company (Gesellschaft mit beschränkter Haftung) headquartered in Munich, Germany. The company is listed in the commercial register (Handelsregister) of the District Court of Munich (Amtsgericht München) under HRB 245 891. The Managing Director (Geschäftsführer) is Dr. Heinrich Vogel.</w:t>
      </w:r>
    </w:p>
    <w:p>
      <w:pPr>
        <w:pStyle w:val="BodyText"/>
      </w:pPr>
      <w:r>
        <w:t xml:space="preserve">All mathematical analyses, proofs, and computational results delivered under this engagement remain the intellectual property of the client upon full payment of this Invoice. The Mathematician retains the right to reference the project in academic publications and professional portfolios, subject to a 90-day confidentiality window and prior written approval from the client for any commercially sensitive data.</w:t>
      </w:r>
    </w:p>
    <w:p>
      <w:pPr>
        <w:pStyle w:val="BodyText"/>
      </w:pPr>
      <w:r>
        <w:t xml:space="preserve">This Invoice is valid for a period of 10 years from the date of issue, in compliance with German tax record-keeping obligations (§147 AO). Electronic copies of this Invoice carry the same legal standing as printed copies under the German Electronic Invoice Act (E-Rechnungsgesetz, E-RechG), which entered into force on 1 January 2025.</w:t>
      </w:r>
    </w:p>
    <w:bookmarkEnd w:id="24"/>
    <w:p>
      <w:pPr>
        <w:pStyle w:val="BodyText"/>
      </w:pPr>
      <w:r>
        <w:rPr>
          <w:bCs/>
          <w:b/>
        </w:rPr>
        <w:t xml:space="preserve">Vogel Mathematical Consulting GmbH</w:t>
      </w:r>
      <w:r>
        <w:t xml:space="preserve"> </w:t>
      </w:r>
      <w:r>
        <w:t xml:space="preserve">— Maximilianstraße 42, 80539 Munich, Germany</w:t>
      </w:r>
    </w:p>
    <w:p>
      <w:pPr>
        <w:pStyle w:val="BodyText"/>
      </w:pPr>
      <w:r>
        <w:t xml:space="preserve">Phone: +49 89 5550 1234  |  Email: h.vogel@vogel-math-consulting.de  |  VAT ID: DE 318 456 721</w:t>
      </w:r>
    </w:p>
    <w:p>
      <w:pPr>
        <w:pStyle w:val="BodyText"/>
      </w:pPr>
      <w:r>
        <w:t xml:space="preserve">Thank you for engaging the services of a professional Mathematician in Germany Munich. We look forward to continuing our collaboration.</w:t>
      </w:r>
    </w:p>
    <w:p>
      <w:pPr>
        <w:pStyle w:val="BodyText"/>
      </w:pPr>
      <w:r>
        <w:t xml:space="preserve">© 2025 Vogel Mathematical Consulting GmbH. All rights reserved. This Invoice was generated electronically and is valid without a physical signature.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Mathematical Consulting Services - Munich, Germany</dc:title>
  <dc:creator/>
  <dc:language>en</dc:language>
  <cp:keywords/>
  <dcterms:created xsi:type="dcterms:W3CDTF">2026-10-10T06:14:50Z</dcterms:created>
  <dcterms:modified xsi:type="dcterms:W3CDTF">2026-10-10T06:14:50Z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