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Tehran,</w:t>
      </w:r>
      <w:r>
        <w:t xml:space="preserve"> </w:t>
      </w:r>
      <w:r>
        <w:t xml:space="preserve">Iran</w:t>
      </w:r>
    </w:p>
    <w:bookmarkStart w:id="20" w:name="dr.-alireza-mohammadi"/>
    <w:p>
      <w:pPr>
        <w:pStyle w:val="Heading1"/>
      </w:pPr>
      <w:r>
        <w:t xml:space="preserve">Dr. Alireza Mohammadi</w:t>
      </w:r>
    </w:p>
    <w:p>
      <w:pPr>
        <w:pStyle w:val="FirstParagraph"/>
      </w:pPr>
      <w:r>
        <w:t xml:space="preserve">Independent Mathematician &amp; Applied Research Consultant</w:t>
      </w:r>
    </w:p>
    <w:p>
      <w:pPr>
        <w:pStyle w:val="BodyText"/>
      </w:pPr>
      <w:r>
        <w:t xml:space="preserve">Office 412, Sharif University of Technology Complex</w:t>
      </w:r>
    </w:p>
    <w:p>
      <w:pPr>
        <w:pStyle w:val="BodyText"/>
      </w:pPr>
      <w:r>
        <w:t xml:space="preserve">Haraz Street, Vanak Square, Tehran, Iran</w:t>
      </w:r>
    </w:p>
    <w:p>
      <w:pPr>
        <w:pStyle w:val="BodyText"/>
      </w:pPr>
      <w:r>
        <w:t xml:space="preserve">Postal Code: 14588-15691</w:t>
      </w:r>
    </w:p>
    <w:p>
      <w:pPr>
        <w:pStyle w:val="BodyText"/>
      </w:pPr>
      <w:r>
        <w:t xml:space="preserve">Phone: +98 21 8840 1234</w:t>
      </w:r>
    </w:p>
    <w:p>
      <w:pPr>
        <w:pStyle w:val="BodyText"/>
      </w:pPr>
      <w:r>
        <w:t xml:space="preserve">Email: a.mohammadi@mathconsult-iran.ir</w:t>
      </w:r>
    </w:p>
    <w:p>
      <w:pPr>
        <w:pStyle w:val="BodyText"/>
      </w:pPr>
      <w:r>
        <w:t xml:space="preserve">National ID (Shenase Melli): 0012345678</w:t>
      </w:r>
    </w:p>
    <w:p>
      <w:pPr>
        <w:pStyle w:val="BodyText"/>
      </w:pPr>
      <w:r>
        <w:t xml:space="preserve">Tax Registration No.: 10234567890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INV-2025-TEH-0472</w:t>
      </w:r>
    </w:p>
    <w:p>
      <w:pPr>
        <w:pStyle w:val="BodyText"/>
      </w:pPr>
      <w:r>
        <w:rPr>
          <w:bCs/>
          <w:b/>
        </w:rPr>
        <w:t xml:space="preserve">Issue Date:</w:t>
      </w:r>
      <w:r>
        <w:t xml:space="preserve"> </w:t>
      </w:r>
      <w:r>
        <w:t xml:space="preserve">15 Farvardin 1404 (April 5, 2025)</w:t>
      </w:r>
    </w:p>
    <w:p>
      <w:pPr>
        <w:pStyle w:val="BodyText"/>
      </w:pPr>
      <w:r>
        <w:rPr>
          <w:bCs/>
          <w:b/>
        </w:rPr>
        <w:t xml:space="preserve">Due Date:</w:t>
      </w:r>
      <w:r>
        <w:t xml:space="preserve"> </w:t>
      </w:r>
      <w:r>
        <w:t xml:space="preserve">30 Farvardin 1404 (April 20,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Iranian Rial (IRR)</w:t>
      </w:r>
    </w:p>
    <w:bookmarkEnd w:id="21"/>
    <w:bookmarkStart w:id="22" w:name="bill-to"/>
    <w:p>
      <w:pPr>
        <w:pStyle w:val="Heading3"/>
      </w:pPr>
      <w:r>
        <w:t xml:space="preserve">Bill To</w:t>
      </w:r>
    </w:p>
    <w:p>
      <w:pPr>
        <w:pStyle w:val="FirstParagraph"/>
      </w:pPr>
      <w:r>
        <w:rPr>
          <w:bCs/>
          <w:b/>
        </w:rPr>
        <w:t xml:space="preserve">Client:</w:t>
      </w:r>
      <w:r>
        <w:t xml:space="preserve"> </w:t>
      </w:r>
      <w:r>
        <w:t xml:space="preserve">Persian Engineering &amp; Analytics Group Co.</w:t>
      </w:r>
    </w:p>
    <w:p>
      <w:pPr>
        <w:pStyle w:val="BodyText"/>
      </w:pPr>
      <w:r>
        <w:rPr>
          <w:bCs/>
          <w:b/>
        </w:rPr>
        <w:t xml:space="preserve">Attn:</w:t>
      </w:r>
      <w:r>
        <w:t xml:space="preserve"> </w:t>
      </w:r>
      <w:r>
        <w:t xml:space="preserve">Mr. Hossein Karimi, Chief Technical Officer</w:t>
      </w:r>
    </w:p>
    <w:p>
      <w:pPr>
        <w:pStyle w:val="BodyText"/>
      </w:pPr>
      <w:r>
        <w:rPr>
          <w:bCs/>
          <w:b/>
        </w:rPr>
        <w:t xml:space="preserve">Address:</w:t>
      </w:r>
      <w:r>
        <w:t xml:space="preserve"> </w:t>
      </w:r>
      <w:r>
        <w:t xml:space="preserve">88 Ferdowsi Avenue, 12th Floor, Niavaran District</w:t>
      </w:r>
    </w:p>
    <w:p>
      <w:pPr>
        <w:pStyle w:val="BodyText"/>
      </w:pPr>
      <w:r>
        <w:t xml:space="preserve">Tehran, Iran – Postal Code: 19857-44210</w:t>
      </w:r>
    </w:p>
    <w:p>
      <w:pPr>
        <w:pStyle w:val="BodyText"/>
      </w:pPr>
      <w:r>
        <w:rPr>
          <w:bCs/>
          <w:b/>
        </w:rPr>
        <w:t xml:space="preserve">Phone:</w:t>
      </w:r>
      <w:r>
        <w:t xml:space="preserve"> </w:t>
      </w:r>
      <w:r>
        <w:t xml:space="preserve">+98 21 4455 6677</w:t>
      </w:r>
    </w:p>
    <w:p>
      <w:pPr>
        <w:pStyle w:val="BodyText"/>
      </w:pPr>
      <w:r>
        <w:rPr>
          <w:bCs/>
          <w:b/>
        </w:rPr>
        <w:t xml:space="preserve">Email:</w:t>
      </w:r>
      <w:r>
        <w:t xml:space="preserve"> </w:t>
      </w:r>
      <w:r>
        <w:t xml:space="preserve">h.karimi@peag-iran.com</w:t>
      </w:r>
    </w:p>
    <w:p>
      <w:pPr>
        <w:pStyle w:val="BodyText"/>
      </w:pPr>
      <w:r>
        <w:rPr>
          <w:bCs/>
          <w:b/>
        </w:rPr>
        <w:t xml:space="preserve">Commercial Registration No.:</w:t>
      </w:r>
      <w:r>
        <w:t xml:space="preserve"> </w:t>
      </w:r>
      <w:r>
        <w:t xml:space="preserve">10456789</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Advanced Optimization Modeling for Industrial Logistics</w:t>
      </w:r>
    </w:p>
    <w:p>
      <w:pPr>
        <w:pStyle w:val="BodyText"/>
      </w:pPr>
      <w:r>
        <w:rPr>
          <w:bCs/>
          <w:b/>
        </w:rPr>
        <w:t xml:space="preserve">Contract No.:</w:t>
      </w:r>
      <w:r>
        <w:t xml:space="preserve"> </w:t>
      </w:r>
      <w:r>
        <w:t xml:space="preserve">CTR-2025-PEAG-019</w:t>
      </w:r>
    </w:p>
    <w:p>
      <w:pPr>
        <w:pStyle w:val="BodyText"/>
      </w:pPr>
      <w:r>
        <w:rPr>
          <w:bCs/>
          <w:b/>
        </w:rPr>
        <w:t xml:space="preserve">Scope:</w:t>
      </w:r>
      <w:r>
        <w:t xml:space="preserve"> </w:t>
      </w:r>
      <w:r>
        <w:t xml:space="preserve">Mathematical Consulting &amp; Research</w:t>
      </w:r>
    </w:p>
    <w:p>
      <w:pPr>
        <w:pStyle w:val="BodyText"/>
      </w:pPr>
      <w:r>
        <w:rPr>
          <w:bCs/>
          <w:b/>
        </w:rPr>
        <w:t xml:space="preserve">Location of Work:</w:t>
      </w:r>
      <w:r>
        <w:t xml:space="preserve"> </w:t>
      </w:r>
      <w:r>
        <w:t xml:space="preserve">Tehran, Iran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Mathematical Services</w:t>
            </w:r>
          </w:p>
        </w:tc>
        <w:tc>
          <w:tcPr/>
          <w:p>
            <w:pPr>
              <w:pStyle w:val="Compact"/>
              <w:jc w:val="left"/>
            </w:pPr>
            <w:r>
              <w:t xml:space="preserve">Deliverable / Reference</w:t>
            </w:r>
          </w:p>
        </w:tc>
        <w:tc>
          <w:tcPr/>
          <w:p>
            <w:pPr>
              <w:pStyle w:val="Compact"/>
              <w:jc w:val="left"/>
            </w:pPr>
            <w:r>
              <w:t xml:space="preserve">Hours</w:t>
            </w:r>
          </w:p>
        </w:tc>
        <w:tc>
          <w:tcPr/>
          <w:p>
            <w:pPr>
              <w:pStyle w:val="Compact"/>
              <w:jc w:val="left"/>
            </w:pPr>
            <w:r>
              <w:t xml:space="preserve">Rate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Development of nonlinear optimization models for supply chain routing across Tehran metropolitan logistics corridors, including formulation of objective functions and constraint sets.</w:t>
            </w:r>
          </w:p>
        </w:tc>
        <w:tc>
          <w:tcPr/>
          <w:p>
            <w:pPr>
              <w:pStyle w:val="Compact"/>
              <w:jc w:val="left"/>
            </w:pPr>
            <w:r>
              <w:t xml:space="preserve">Technical Report TR-01</w:t>
            </w:r>
          </w:p>
        </w:tc>
        <w:tc>
          <w:tcPr/>
          <w:p>
            <w:pPr>
              <w:pStyle w:val="Compact"/>
              <w:jc w:val="left"/>
            </w:pPr>
            <w:r>
              <w:t xml:space="preserve">48</w:t>
            </w:r>
          </w:p>
        </w:tc>
        <w:tc>
          <w:tcPr/>
          <w:p>
            <w:pPr>
              <w:pStyle w:val="Compact"/>
              <w:jc w:val="left"/>
            </w:pPr>
            <w:r>
              <w:t xml:space="preserve">2,500,000</w:t>
            </w:r>
          </w:p>
        </w:tc>
        <w:tc>
          <w:tcPr/>
          <w:p>
            <w:pPr>
              <w:pStyle w:val="Compact"/>
              <w:jc w:val="left"/>
            </w:pPr>
            <w:r>
              <w:t xml:space="preserve">120,000,000</w:t>
            </w:r>
          </w:p>
        </w:tc>
      </w:tr>
      <w:tr>
        <w:tc>
          <w:tcPr/>
          <w:p>
            <w:pPr>
              <w:pStyle w:val="Compact"/>
              <w:jc w:val="left"/>
            </w:pPr>
            <w:r>
              <w:t xml:space="preserve">2</w:t>
            </w:r>
          </w:p>
        </w:tc>
        <w:tc>
          <w:tcPr/>
          <w:p>
            <w:pPr>
              <w:pStyle w:val="Compact"/>
              <w:jc w:val="left"/>
            </w:pPr>
            <w:r>
              <w:t xml:space="preserve">Design and implementation of stochastic programming frameworks for demand forecasting under uncertainty, utilizing Monte Carlo simulation methods validated against historical Tehran market data.</w:t>
            </w:r>
          </w:p>
        </w:tc>
        <w:tc>
          <w:tcPr/>
          <w:p>
            <w:pPr>
              <w:pStyle w:val="Compact"/>
              <w:jc w:val="left"/>
            </w:pPr>
            <w:r>
              <w:t xml:space="preserve">Algorithm Module AM-02</w:t>
            </w:r>
          </w:p>
        </w:tc>
        <w:tc>
          <w:tcPr/>
          <w:p>
            <w:pPr>
              <w:pStyle w:val="Compact"/>
              <w:jc w:val="left"/>
            </w:pPr>
            <w:r>
              <w:t xml:space="preserve">36</w:t>
            </w:r>
          </w:p>
        </w:tc>
        <w:tc>
          <w:tcPr/>
          <w:p>
            <w:pPr>
              <w:pStyle w:val="Compact"/>
              <w:jc w:val="left"/>
            </w:pPr>
            <w:r>
              <w:t xml:space="preserve">2,500,000</w:t>
            </w:r>
          </w:p>
        </w:tc>
        <w:tc>
          <w:tcPr/>
          <w:p>
            <w:pPr>
              <w:pStyle w:val="Compact"/>
              <w:jc w:val="left"/>
            </w:pPr>
            <w:r>
              <w:t xml:space="preserve">90,000,000</w:t>
            </w:r>
          </w:p>
        </w:tc>
      </w:tr>
      <w:tr>
        <w:tc>
          <w:tcPr/>
          <w:p>
            <w:pPr>
              <w:pStyle w:val="Compact"/>
              <w:jc w:val="left"/>
            </w:pPr>
            <w:r>
              <w:t xml:space="preserve">3</w:t>
            </w:r>
          </w:p>
        </w:tc>
        <w:tc>
          <w:tcPr/>
          <w:p>
            <w:pPr>
              <w:pStyle w:val="Compact"/>
              <w:jc w:val="left"/>
            </w:pPr>
            <w:r>
              <w:t xml:space="preserve">Mathematical proof verification and peer review of the client's proprietary integer linear programming solver, including identification of edge cases in constraint relaxation techniques.</w:t>
            </w:r>
          </w:p>
        </w:tc>
        <w:tc>
          <w:tcPr/>
          <w:p>
            <w:pPr>
              <w:pStyle w:val="Compact"/>
              <w:jc w:val="left"/>
            </w:pPr>
            <w:r>
              <w:t xml:space="preserve">Review Document RD-03</w:t>
            </w:r>
          </w:p>
        </w:tc>
        <w:tc>
          <w:tcPr/>
          <w:p>
            <w:pPr>
              <w:pStyle w:val="Compact"/>
              <w:jc w:val="left"/>
            </w:pPr>
            <w:r>
              <w:t xml:space="preserve">24</w:t>
            </w:r>
          </w:p>
        </w:tc>
        <w:tc>
          <w:tcPr/>
          <w:p>
            <w:pPr>
              <w:pStyle w:val="Compact"/>
              <w:jc w:val="left"/>
            </w:pPr>
            <w:r>
              <w:t xml:space="preserve">3,000,000</w:t>
            </w:r>
          </w:p>
        </w:tc>
        <w:tc>
          <w:tcPr/>
          <w:p>
            <w:pPr>
              <w:pStyle w:val="Compact"/>
              <w:jc w:val="left"/>
            </w:pPr>
            <w:r>
              <w:t xml:space="preserve">72,000,000</w:t>
            </w:r>
          </w:p>
        </w:tc>
      </w:tr>
      <w:tr>
        <w:tc>
          <w:tcPr/>
          <w:p>
            <w:pPr>
              <w:pStyle w:val="Compact"/>
              <w:jc w:val="left"/>
            </w:pPr>
            <w:r>
              <w:t xml:space="preserve">4</w:t>
            </w:r>
          </w:p>
        </w:tc>
        <w:tc>
          <w:tcPr/>
          <w:p>
            <w:pPr>
              <w:pStyle w:val="Compact"/>
              <w:jc w:val="left"/>
            </w:pPr>
            <w:r>
              <w:t xml:space="preserve">On-site mathematical consultation sessions at the client's Tehran headquarters (Niavaran District), covering advanced topics in convex optimization, duality theory, and sensitivity analysis for operational decision-making.</w:t>
            </w:r>
          </w:p>
        </w:tc>
        <w:tc>
          <w:tcPr/>
          <w:p>
            <w:pPr>
              <w:pStyle w:val="Compact"/>
              <w:jc w:val="left"/>
            </w:pPr>
            <w:r>
              <w:t xml:space="preserve">Consultation Log CL-04</w:t>
            </w:r>
          </w:p>
        </w:tc>
        <w:tc>
          <w:tcPr/>
          <w:p>
            <w:pPr>
              <w:pStyle w:val="Compact"/>
              <w:jc w:val="left"/>
            </w:pPr>
            <w:r>
              <w:t xml:space="preserve">16</w:t>
            </w:r>
          </w:p>
        </w:tc>
        <w:tc>
          <w:tcPr/>
          <w:p>
            <w:pPr>
              <w:pStyle w:val="Compact"/>
              <w:jc w:val="left"/>
            </w:pPr>
            <w:r>
              <w:t xml:space="preserve">3,500,000</w:t>
            </w:r>
          </w:p>
        </w:tc>
        <w:tc>
          <w:tcPr/>
          <w:p>
            <w:pPr>
              <w:pStyle w:val="Compact"/>
              <w:jc w:val="left"/>
            </w:pPr>
            <w:r>
              <w:t xml:space="preserve">56,000,000</w:t>
            </w:r>
          </w:p>
        </w:tc>
      </w:tr>
      <w:tr>
        <w:tc>
          <w:tcPr/>
          <w:p>
            <w:pPr>
              <w:pStyle w:val="Compact"/>
              <w:jc w:val="left"/>
            </w:pPr>
            <w:r>
              <w:t xml:space="preserve">5</w:t>
            </w:r>
          </w:p>
        </w:tc>
        <w:tc>
          <w:tcPr/>
          <w:p>
            <w:pPr>
              <w:pStyle w:val="Compact"/>
              <w:jc w:val="left"/>
            </w:pPr>
            <w:r>
              <w:t xml:space="preserve">Preparation of a comprehensive mathematical documentation package in both English and Persian (Farsi), detailing all model assumptions, derivations, theorems, and computational complexity analyses for the client's engineering team.</w:t>
            </w:r>
          </w:p>
        </w:tc>
        <w:tc>
          <w:tcPr/>
          <w:p>
            <w:pPr>
              <w:pStyle w:val="Compact"/>
              <w:jc w:val="left"/>
            </w:pPr>
            <w:r>
              <w:t xml:space="preserve">Documentation Set DS-05</w:t>
            </w:r>
          </w:p>
        </w:tc>
        <w:tc>
          <w:tcPr/>
          <w:p>
            <w:pPr>
              <w:pStyle w:val="Compact"/>
              <w:jc w:val="left"/>
            </w:pPr>
            <w:r>
              <w:t xml:space="preserve">20</w:t>
            </w:r>
          </w:p>
        </w:tc>
        <w:tc>
          <w:tcPr/>
          <w:p>
            <w:pPr>
              <w:pStyle w:val="Compact"/>
              <w:jc w:val="left"/>
            </w:pPr>
            <w:r>
              <w:t xml:space="preserve">2,000,000</w:t>
            </w:r>
          </w:p>
        </w:tc>
        <w:tc>
          <w:tcPr/>
          <w:p>
            <w:pPr>
              <w:pStyle w:val="Compact"/>
              <w:jc w:val="left"/>
            </w:pPr>
            <w:r>
              <w:t xml:space="preserve">40,000,000</w:t>
            </w:r>
          </w:p>
        </w:tc>
      </w:tr>
      <w:tr>
        <w:tc>
          <w:tcPr/>
          <w:p>
            <w:pPr>
              <w:pStyle w:val="Compact"/>
              <w:jc w:val="left"/>
            </w:pPr>
            <w:r>
              <w:t xml:space="preserve">6</w:t>
            </w:r>
          </w:p>
        </w:tc>
        <w:tc>
          <w:tcPr/>
          <w:p>
            <w:pPr>
              <w:pStyle w:val="Compact"/>
              <w:jc w:val="left"/>
            </w:pPr>
            <w:r>
              <w:t xml:space="preserve">Training workshop (2 days) for the client's data science team in Tehran, covering applied mathematical methods including gradient descent variants, Lagrange multipliers, and numerical linear algebra techniques relevant to their engineering workflows.</w:t>
            </w:r>
          </w:p>
        </w:tc>
        <w:tc>
          <w:tcPr/>
          <w:p>
            <w:pPr>
              <w:pStyle w:val="Compact"/>
              <w:jc w:val="left"/>
            </w:pPr>
            <w:r>
              <w:t xml:space="preserve">Workshop Certificate WC-06</w:t>
            </w:r>
          </w:p>
        </w:tc>
        <w:tc>
          <w:tcPr/>
          <w:p>
            <w:pPr>
              <w:pStyle w:val="Compact"/>
              <w:jc w:val="left"/>
            </w:pPr>
            <w:r>
              <w:t xml:space="preserve">14</w:t>
            </w:r>
          </w:p>
        </w:tc>
        <w:tc>
          <w:tcPr/>
          <w:p>
            <w:pPr>
              <w:pStyle w:val="Compact"/>
              <w:jc w:val="left"/>
            </w:pPr>
            <w:r>
              <w:t xml:space="preserve">3,000,000</w:t>
            </w:r>
          </w:p>
        </w:tc>
        <w:tc>
          <w:tcPr/>
          <w:p>
            <w:pPr>
              <w:pStyle w:val="Compact"/>
              <w:jc w:val="left"/>
            </w:pPr>
            <w:r>
              <w:t xml:space="preserve">42,000,000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420,000,000 IRR</w:t>
            </w:r>
          </w:p>
        </w:tc>
      </w:tr>
      <w:tr>
        <w:tc>
          <w:tcPr/>
          <w:p>
            <w:pPr>
              <w:pStyle w:val="Compact"/>
              <w:jc w:val="left"/>
            </w:pPr>
            <w:r>
              <w:t xml:space="preserve">VAT (9% – Iranian Value Added Tax)</w:t>
            </w:r>
          </w:p>
        </w:tc>
        <w:tc>
          <w:tcPr/>
          <w:p>
            <w:pPr>
              <w:pStyle w:val="Compact"/>
              <w:jc w:val="left"/>
            </w:pPr>
            <w:r>
              <w:t xml:space="preserve">37,800,000 IRR</w:t>
            </w:r>
          </w:p>
        </w:tc>
      </w:tr>
      <w:tr>
        <w:tc>
          <w:tcPr/>
          <w:p>
            <w:pPr>
              <w:pStyle w:val="Compact"/>
              <w:jc w:val="left"/>
            </w:pPr>
            <w:r>
              <w:t xml:space="preserve">Applicable Withholding Tax (5% – per Iranian Tax Administration)</w:t>
            </w:r>
          </w:p>
        </w:tc>
        <w:tc>
          <w:tcPr/>
          <w:p>
            <w:pPr>
              <w:pStyle w:val="Compact"/>
              <w:jc w:val="left"/>
            </w:pPr>
            <w:r>
              <w:t xml:space="preserve">(21,000,000) IRR</w:t>
            </w:r>
          </w:p>
        </w:tc>
      </w:tr>
      <w:tr>
        <w:tc>
          <w:tcPr/>
          <w:p>
            <w:pPr>
              <w:pStyle w:val="Compact"/>
              <w:jc w:val="left"/>
            </w:pPr>
            <w:r>
              <w:t xml:space="preserve">Grand Total Due</w:t>
            </w:r>
          </w:p>
        </w:tc>
        <w:tc>
          <w:tcPr/>
          <w:p>
            <w:pPr>
              <w:pStyle w:val="Compact"/>
              <w:jc w:val="left"/>
            </w:pPr>
            <w:r>
              <w:t xml:space="preserve">436,800,000 IRR</w:t>
            </w:r>
          </w:p>
        </w:tc>
      </w:tr>
    </w:tbl>
    <w:bookmarkStart w:id="24" w:name="notes-remarks"/>
    <w:p>
      <w:pPr>
        <w:pStyle w:val="Heading3"/>
      </w:pPr>
      <w:r>
        <w:t xml:space="preserve">Notes &amp; Remarks</w:t>
      </w:r>
    </w:p>
    <w:p>
      <w:pPr>
        <w:pStyle w:val="FirstParagraph"/>
      </w:pPr>
      <w:r>
        <w:t xml:space="preserve">This invoice is issued by an independent Mathematician operating in Tehran, Iran, in accordance with the terms outlined in Contract CTR-2025-PEAG-019. All mathematical services described herein were performed within the jurisdiction of Tehran Province, Islamic Republic of Iran. The rates quoted reflect the professional expertise of a qualified mathematician specializing in applied optimization, stochastic modeling, and numerical analysis. All deliverables are subject to the intellectual property clauses specified in the master service agreement. The client acknowledges that the mathematical proofs, algorithms, and model formulations provided constitute original intellectual work. Payment is expected via bank transfer to the account specified below. Late payments beyond the due date of 30 Farvardin 1404 shall incur a penalty of 0.5% per day as stipulated under Iranian commercial law. This invoice is valid for 90 calendar days from the issue date.</w:t>
      </w:r>
    </w:p>
    <w:bookmarkEnd w:id="24"/>
    <w:bookmarkStart w:id="25" w:name="bank-payment-details"/>
    <w:p>
      <w:pPr>
        <w:pStyle w:val="Heading4"/>
      </w:pPr>
      <w:r>
        <w:t xml:space="preserve">Bank Payment Details</w:t>
      </w:r>
    </w:p>
    <w:p>
      <w:pPr>
        <w:pStyle w:val="FirstParagraph"/>
      </w:pPr>
      <w:r>
        <w:rPr>
          <w:bCs/>
          <w:b/>
        </w:rPr>
        <w:t xml:space="preserve">Bank:</w:t>
      </w:r>
      <w:r>
        <w:t xml:space="preserve"> </w:t>
      </w:r>
      <w:r>
        <w:t xml:space="preserve">Bank Melli Iran (BMI)</w:t>
      </w:r>
    </w:p>
    <w:p>
      <w:pPr>
        <w:pStyle w:val="BodyText"/>
      </w:pPr>
      <w:r>
        <w:rPr>
          <w:bCs/>
          <w:b/>
        </w:rPr>
        <w:t xml:space="preserve">Branch:</w:t>
      </w:r>
      <w:r>
        <w:t xml:space="preserve"> </w:t>
      </w:r>
      <w:r>
        <w:t xml:space="preserve">Vanak, Tehran</w:t>
      </w:r>
    </w:p>
    <w:p>
      <w:pPr>
        <w:pStyle w:val="BodyText"/>
      </w:pPr>
      <w:r>
        <w:rPr>
          <w:bCs/>
          <w:b/>
        </w:rPr>
        <w:t xml:space="preserve">Account Name:</w:t>
      </w:r>
      <w:r>
        <w:t xml:space="preserve"> </w:t>
      </w:r>
      <w:r>
        <w:t xml:space="preserve">Alireza Mohammadi</w:t>
      </w:r>
    </w:p>
    <w:p>
      <w:pPr>
        <w:pStyle w:val="BodyText"/>
      </w:pPr>
      <w:r>
        <w:rPr>
          <w:bCs/>
          <w:b/>
        </w:rPr>
        <w:t xml:space="preserve">IBAN:</w:t>
      </w:r>
      <w:r>
        <w:t xml:space="preserve"> </w:t>
      </w:r>
      <w:r>
        <w:t xml:space="preserve">IR88 0100 0000 0000 1234 5678 9012</w:t>
      </w:r>
    </w:p>
    <w:p>
      <w:pPr>
        <w:pStyle w:val="BodyText"/>
      </w:pPr>
      <w:r>
        <w:rPr>
          <w:bCs/>
          <w:b/>
        </w:rPr>
        <w:t xml:space="preserve">SWIFT Code:</w:t>
      </w:r>
      <w:r>
        <w:t xml:space="preserve"> </w:t>
      </w:r>
      <w:r>
        <w:t xml:space="preserve">BNIRIRTT</w:t>
      </w:r>
    </w:p>
    <w:p>
      <w:pPr>
        <w:pStyle w:val="BodyText"/>
      </w:pPr>
      <w:r>
        <w:rPr>
          <w:bCs/>
          <w:b/>
        </w:rPr>
        <w:t xml:space="preserve">Reference:</w:t>
      </w:r>
      <w:r>
        <w:t xml:space="preserve"> </w:t>
      </w:r>
      <w:r>
        <w:t xml:space="preserve">INV-2025-TEH-0472</w:t>
      </w:r>
    </w:p>
    <w:bookmarkEnd w:id="25"/>
    <w:bookmarkStart w:id="26" w:name="invoice-verification"/>
    <w:p>
      <w:pPr>
        <w:pStyle w:val="Heading4"/>
      </w:pPr>
      <w:r>
        <w:t xml:space="preserve">Invoice Verification</w:t>
      </w:r>
    </w:p>
    <w:p>
      <w:pPr>
        <w:pStyle w:val="FirstParagraph"/>
      </w:pPr>
      <w:r>
        <w:rPr>
          <w:bCs/>
          <w:b/>
        </w:rPr>
        <w:t xml:space="preserve">Issued By:</w:t>
      </w:r>
      <w:r>
        <w:t xml:space="preserve"> </w:t>
      </w:r>
      <w:r>
        <w:t xml:space="preserve">Dr. Alireza Mohammadi</w:t>
      </w:r>
    </w:p>
    <w:p>
      <w:pPr>
        <w:pStyle w:val="BodyText"/>
      </w:pPr>
      <w:r>
        <w:rPr>
          <w:bCs/>
          <w:b/>
        </w:rPr>
        <w:t xml:space="preserve">Qualification:</w:t>
      </w:r>
      <w:r>
        <w:t xml:space="preserve"> </w:t>
      </w:r>
      <w:r>
        <w:t xml:space="preserve">Ph.D. in Applied Mathematics, Sharif University of Technology, Tehran</w:t>
      </w:r>
    </w:p>
    <w:p>
      <w:pPr>
        <w:pStyle w:val="BodyText"/>
      </w:pPr>
      <w:r>
        <w:rPr>
          <w:bCs/>
          <w:b/>
        </w:rPr>
        <w:t xml:space="preserve">Professional License:</w:t>
      </w:r>
      <w:r>
        <w:t xml:space="preserve"> </w:t>
      </w:r>
      <w:r>
        <w:t xml:space="preserve">Iranian Mathematical Society Member #IR-MS-2019-0342</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15/03/1404</w:t>
      </w:r>
    </w:p>
    <w:bookmarkEnd w:id="26"/>
    <w:bookmarkStart w:id="27" w:name="terms-and-conditions"/>
    <w:p>
      <w:pPr>
        <w:pStyle w:val="Heading4"/>
      </w:pPr>
      <w:r>
        <w:t xml:space="preserve">Terms and Conditions</w:t>
      </w:r>
    </w:p>
    <w:p>
      <w:pPr>
        <w:pStyle w:val="FirstParagraph"/>
      </w:pPr>
      <w:r>
        <w:t xml:space="preserve">1. This invoice constitutes a formal request for payment for mathematical consulting and research services rendered in Tehran, Iran. 2. All services were performed by a qualified mathematician holding a doctoral degree in applied mathematics from a recognized Iranian university. 3. The client agrees to remit payment within fifteen (15) business days of the issue date via bank transfer to the designated account. 4. Any disputes arising from this invoice shall be resolved under the jurisdiction of the Tehran Commercial Court in accordance with the Civil Code of the Islamic Republic of Iran. 5. The mathematician reserves all intellectual property rights over original mathematical formulations, proofs, and algorithms unless explicitly transferred in writing. 6. This invoice is subject to the tax regulations of the Iranian National Tax Administration and is issued in compliance with all applicable fiscal laws of Iran. 7. The client is responsible for verifying the accuracy of all billing details prior to payment. 8. This document is generated in the English language for international business correspondence and carries equal legal weight as its Persian (Farsi) counterpart.</w:t>
      </w:r>
    </w:p>
    <w:bookmarkEnd w:id="27"/>
    <w:p>
      <w:pPr>
        <w:pStyle w:val="BodyText"/>
      </w:pPr>
      <w:r>
        <w:t xml:space="preserve">[ OFFICIAL COMPANY STAMP / MOURAGHAT ]</w:t>
      </w:r>
    </w:p>
    <w:p>
      <w:pPr>
        <w:pStyle w:val="BodyText"/>
      </w:pPr>
      <w:r>
        <w:t xml:space="preserve">Dr. Alireza Mohammadi – Mathematician – Tehran, Iran</w:t>
      </w:r>
    </w:p>
    <w:p>
      <w:pPr>
        <w:pStyle w:val="BodyText"/>
      </w:pPr>
      <w:r>
        <w:t xml:space="preserve">Thank you for your business. This invoice was prepared by an independent Mathematician based in Tehran, Islamic Republic of Iran.</w:t>
      </w:r>
    </w:p>
    <w:p>
      <w:pPr>
        <w:pStyle w:val="BodyText"/>
      </w:pPr>
      <w:r>
        <w:t xml:space="preserve">For inquiries regarding this invoice, please contact the issuing mathematician at the address and phone number listed above.</w:t>
      </w:r>
    </w:p>
    <w:p>
      <w:pPr>
        <w:pStyle w:val="BodyText"/>
      </w:pPr>
      <w:r>
        <w:t xml:space="preserve">Document generated on 15 Farvardin 1404 (April 5, 2025) – Tehran, Iran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Tehran, Iran</dc:title>
  <dc:creator/>
  <dc:language>en</dc:language>
  <cp:keywords/>
  <dcterms:created xsi:type="dcterms:W3CDTF">2026-10-10T02:26:05Z</dcterms:created>
  <dcterms:modified xsi:type="dcterms:W3CDTF">2026-10-10T02:26:05Z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