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dr.-kenji-tanaka-ph.d."/>
    <w:p>
      <w:pPr>
        <w:pStyle w:val="Heading1"/>
      </w:pPr>
      <w:r>
        <w:t xml:space="preserve">Dr. Kenji Tanaka, Ph.D.</w:t>
      </w:r>
    </w:p>
    <w:p>
      <w:pPr>
        <w:pStyle w:val="FirstParagraph"/>
      </w:pPr>
      <w:r>
        <w:t xml:space="preserve">Independent Mathematician &amp; Quantitative Consultant</w:t>
      </w:r>
    </w:p>
    <w:p>
      <w:pPr>
        <w:pStyle w:val="BodyText"/>
      </w:pPr>
      <w:r>
        <w:t xml:space="preserve">2-14-8 Higashiyama, Gion-machi</w:t>
      </w:r>
    </w:p>
    <w:p>
      <w:pPr>
        <w:pStyle w:val="BodyText"/>
      </w:pPr>
      <w:r>
        <w:t xml:space="preserve">Kyoto-shi, Kyoto-fu 605-0000, Japan</w:t>
      </w:r>
    </w:p>
    <w:p>
      <w:pPr>
        <w:pStyle w:val="BodyText"/>
      </w:pPr>
      <w:r>
        <w:t xml:space="preserve">Tel: +81-75-555-0142</w:t>
      </w:r>
    </w:p>
    <w:p>
      <w:pPr>
        <w:pStyle w:val="BodyText"/>
      </w:pPr>
      <w:r>
        <w:t xml:space="preserve">Email: k.tanaka@kyoto-math.jp</w:t>
      </w:r>
    </w:p>
    <w:p>
      <w:pPr>
        <w:pStyle w:val="BodyText"/>
      </w:pPr>
      <w:r>
        <w:t xml:space="preserve">Corporation Tax Number: 6010001234567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KYO-MATH-2025-0047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14, 2025</w:t>
      </w:r>
    </w:p>
    <w:bookmarkEnd w:id="21"/>
    <w:bookmarkStart w:id="22" w:name="billed-to"/>
    <w:p>
      <w:pPr>
        <w:pStyle w:val="Heading3"/>
      </w:pPr>
      <w:r>
        <w:t xml:space="preserve">Billed To</w:t>
      </w:r>
    </w:p>
    <w:p>
      <w:pPr>
        <w:pStyle w:val="FirstParagraph"/>
      </w:pPr>
      <w:r>
        <w:rPr>
          <w:bCs/>
          <w:b/>
        </w:rPr>
        <w:t xml:space="preserve">Kyoto Advanced Research Institute (KARI)</w:t>
      </w:r>
    </w:p>
    <w:p>
      <w:pPr>
        <w:pStyle w:val="BodyText"/>
      </w:pPr>
      <w:r>
        <w:t xml:space="preserve">Attn: Prof. Yuki Nakamura, Director of Applied Sciences</w:t>
      </w:r>
    </w:p>
    <w:p>
      <w:pPr>
        <w:pStyle w:val="BodyText"/>
      </w:pPr>
      <w:r>
        <w:t xml:space="preserve">1-1-1 Yoshida-honmachi, Sakyo-ku</w:t>
      </w:r>
    </w:p>
    <w:p>
      <w:pPr>
        <w:pStyle w:val="BodyText"/>
      </w:pPr>
      <w:r>
        <w:t xml:space="preserve">Kyoto-shi, Kyoto-fu 606-8501, Japan</w:t>
      </w:r>
    </w:p>
    <w:p>
      <w:pPr>
        <w:pStyle w:val="BodyText"/>
      </w:pPr>
      <w:r>
        <w:t xml:space="preserve">Company Registration: 6010009876543</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Stochastic Modeling for Urban Traffic Optimization</w:t>
      </w:r>
    </w:p>
    <w:p>
      <w:pPr>
        <w:pStyle w:val="BodyText"/>
      </w:pPr>
      <w:r>
        <w:rPr>
          <w:bCs/>
          <w:b/>
        </w:rPr>
        <w:t xml:space="preserve">Contract No.:</w:t>
      </w:r>
      <w:r>
        <w:t xml:space="preserve"> </w:t>
      </w:r>
      <w:r>
        <w:t xml:space="preserve">KARI-2025-QC-0112</w:t>
      </w:r>
    </w:p>
    <w:p>
      <w:pPr>
        <w:pStyle w:val="BodyText"/>
      </w:pPr>
      <w:r>
        <w:rPr>
          <w:bCs/>
          <w:b/>
        </w:rPr>
        <w:t xml:space="preserve">Location:</w:t>
      </w:r>
      <w:r>
        <w:t xml:space="preserve"> </w:t>
      </w:r>
      <w:r>
        <w:t xml:space="preserve">Kyoto, Japan</w:t>
      </w:r>
    </w:p>
    <w:p>
      <w:pPr>
        <w:pStyle w:val="BodyText"/>
      </w:pPr>
      <w:r>
        <w:rPr>
          <w:bCs/>
          <w:b/>
        </w:rPr>
        <w:t xml:space="preserve">Engagement Type:</w:t>
      </w:r>
      <w:r>
        <w:t xml:space="preserve"> </w:t>
      </w:r>
      <w:r>
        <w:t xml:space="preserve">Retainer – Quarterly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Mathematical Services</w:t>
            </w:r>
          </w:p>
        </w:tc>
        <w:tc>
          <w:tcPr/>
          <w:p>
            <w:pPr>
              <w:pStyle w:val="Compact"/>
              <w:jc w:val="left"/>
            </w:pPr>
            <w:r>
              <w:t xml:space="preserve">Rate (JPY/hr)</w:t>
            </w:r>
          </w:p>
        </w:tc>
        <w:tc>
          <w:tcPr/>
          <w:p>
            <w:pPr>
              <w:pStyle w:val="Compact"/>
              <w:jc w:val="left"/>
            </w:pPr>
            <w:r>
              <w:t xml:space="preserve">Hours</w:t>
            </w:r>
          </w:p>
        </w:tc>
        <w:tc>
          <w:tcPr/>
          <w:p>
            <w:pPr>
              <w:pStyle w:val="Compact"/>
              <w:jc w:val="left"/>
            </w:pPr>
            <w:r>
              <w:t xml:space="preserve">Subtotal (JPY)</w:t>
            </w:r>
          </w:p>
        </w:tc>
        <w:tc>
          <w:tcPr/>
          <w:p>
            <w:pPr>
              <w:pStyle w:val="Compact"/>
              <w:jc w:val="left"/>
            </w:pPr>
            <w:r>
              <w:t xml:space="preserve">Deliverable / Notes</w:t>
            </w:r>
          </w:p>
        </w:tc>
      </w:tr>
      <w:tr>
        <w:tc>
          <w:tcPr/>
          <w:p>
            <w:pPr>
              <w:pStyle w:val="Compact"/>
              <w:jc w:val="left"/>
            </w:pPr>
            <w:r>
              <w:t xml:space="preserve">1</w:t>
            </w:r>
          </w:p>
        </w:tc>
        <w:tc>
          <w:tcPr/>
          <w:p>
            <w:pPr>
              <w:pStyle w:val="Compact"/>
              <w:jc w:val="left"/>
            </w:pPr>
            <w:r>
              <w:t xml:space="preserve">Development of stochastic differential equation models for pedestrian flow analysis in central Kyoto districts, including derivation of boundary conditions specific to the Gion and Arashiyama corridors.</w:t>
            </w:r>
          </w:p>
        </w:tc>
        <w:tc>
          <w:tcPr/>
          <w:p>
            <w:pPr>
              <w:pStyle w:val="Compact"/>
              <w:jc w:val="left"/>
            </w:pPr>
            <w:r>
              <w:t xml:space="preserve">28,000</w:t>
            </w:r>
          </w:p>
        </w:tc>
        <w:tc>
          <w:tcPr/>
          <w:p>
            <w:pPr>
              <w:pStyle w:val="Compact"/>
              <w:jc w:val="left"/>
            </w:pPr>
            <w:r>
              <w:t xml:space="preserve">42</w:t>
            </w:r>
          </w:p>
        </w:tc>
        <w:tc>
          <w:tcPr/>
          <w:p>
            <w:pPr>
              <w:pStyle w:val="Compact"/>
              <w:jc w:val="left"/>
            </w:pPr>
            <w:r>
              <w:t xml:space="preserve">1,176,000</w:t>
            </w:r>
          </w:p>
        </w:tc>
        <w:tc>
          <w:tcPr/>
          <w:p>
            <w:pPr>
              <w:pStyle w:val="Compact"/>
              <w:jc w:val="left"/>
            </w:pPr>
            <w:r>
              <w:t xml:space="preserve">Technical Report TR-2025-031</w:t>
            </w:r>
          </w:p>
        </w:tc>
      </w:tr>
      <w:tr>
        <w:tc>
          <w:tcPr/>
          <w:p>
            <w:pPr>
              <w:pStyle w:val="Compact"/>
              <w:jc w:val="left"/>
            </w:pPr>
            <w:r>
              <w:t xml:space="preserve">2</w:t>
            </w:r>
          </w:p>
        </w:tc>
        <w:tc>
          <w:tcPr/>
          <w:p>
            <w:pPr>
              <w:pStyle w:val="Compact"/>
              <w:jc w:val="left"/>
            </w:pPr>
            <w:r>
              <w:t xml:space="preserve">Design and proof of convergence theorems for the proposed Monte Carlo simulation framework used in traffic volume forecasting. Includes peer-reviewed validation of numerical stability.</w:t>
            </w:r>
          </w:p>
        </w:tc>
        <w:tc>
          <w:tcPr/>
          <w:p>
            <w:pPr>
              <w:pStyle w:val="Compact"/>
              <w:jc w:val="left"/>
            </w:pPr>
            <w:r>
              <w:t xml:space="preserve">32,000</w:t>
            </w:r>
          </w:p>
        </w:tc>
        <w:tc>
          <w:tcPr/>
          <w:p>
            <w:pPr>
              <w:pStyle w:val="Compact"/>
              <w:jc w:val="left"/>
            </w:pPr>
            <w:r>
              <w:t xml:space="preserve">36</w:t>
            </w:r>
          </w:p>
        </w:tc>
        <w:tc>
          <w:tcPr/>
          <w:p>
            <w:pPr>
              <w:pStyle w:val="Compact"/>
              <w:jc w:val="left"/>
            </w:pPr>
            <w:r>
              <w:t xml:space="preserve">1,152,000</w:t>
            </w:r>
          </w:p>
        </w:tc>
        <w:tc>
          <w:tcPr/>
          <w:p>
            <w:pPr>
              <w:pStyle w:val="Compact"/>
              <w:jc w:val="left"/>
            </w:pPr>
            <w:r>
              <w:t xml:space="preserve">Proof Appendix A &amp; B</w:t>
            </w:r>
          </w:p>
        </w:tc>
      </w:tr>
      <w:tr>
        <w:tc>
          <w:tcPr/>
          <w:p>
            <w:pPr>
              <w:pStyle w:val="Compact"/>
              <w:jc w:val="left"/>
            </w:pPr>
            <w:r>
              <w:t xml:space="preserve">3</w:t>
            </w:r>
          </w:p>
        </w:tc>
        <w:tc>
          <w:tcPr/>
          <w:p>
            <w:pPr>
              <w:pStyle w:val="Compact"/>
              <w:jc w:val="left"/>
            </w:pPr>
            <w:r>
              <w:t xml:space="preserve">On-site consultation at KARI laboratory in Sakyo-ku, Kyoto. Collaborative work with the Applied Sciences team on topological graph theory applications for subway network optimization.</w:t>
            </w:r>
          </w:p>
        </w:tc>
        <w:tc>
          <w:tcPr/>
          <w:p>
            <w:pPr>
              <w:pStyle w:val="Compact"/>
              <w:jc w:val="left"/>
            </w:pPr>
            <w:r>
              <w:t xml:space="preserve">35,000</w:t>
            </w:r>
          </w:p>
        </w:tc>
        <w:tc>
          <w:tcPr/>
          <w:p>
            <w:pPr>
              <w:pStyle w:val="Compact"/>
              <w:jc w:val="left"/>
            </w:pPr>
            <w:r>
              <w:t xml:space="preserve">24</w:t>
            </w:r>
          </w:p>
        </w:tc>
        <w:tc>
          <w:tcPr/>
          <w:p>
            <w:pPr>
              <w:pStyle w:val="Compact"/>
              <w:jc w:val="left"/>
            </w:pPr>
            <w:r>
              <w:t xml:space="preserve">840,000</w:t>
            </w:r>
          </w:p>
        </w:tc>
        <w:tc>
          <w:tcPr/>
          <w:p>
            <w:pPr>
              <w:pStyle w:val="Compact"/>
              <w:jc w:val="left"/>
            </w:pPr>
            <w:r>
              <w:t xml:space="preserve">Meeting minutes &amp; whiteboard documentation</w:t>
            </w:r>
          </w:p>
        </w:tc>
      </w:tr>
      <w:tr>
        <w:tc>
          <w:tcPr/>
          <w:p>
            <w:pPr>
              <w:pStyle w:val="Compact"/>
              <w:jc w:val="left"/>
            </w:pPr>
            <w:r>
              <w:t xml:space="preserve">4</w:t>
            </w:r>
          </w:p>
        </w:tc>
        <w:tc>
          <w:tcPr/>
          <w:p>
            <w:pPr>
              <w:pStyle w:val="Compact"/>
              <w:jc w:val="left"/>
            </w:pPr>
            <w:r>
              <w:t xml:space="preserve">Preparation of a comprehensive mathematical feasibility study evaluating the integration of machine learning algorithms with classical optimization theory for Kyoto City's public transit scheduling.</w:t>
            </w:r>
          </w:p>
        </w:tc>
        <w:tc>
          <w:tcPr/>
          <w:p>
            <w:pPr>
              <w:pStyle w:val="Compact"/>
              <w:jc w:val="left"/>
            </w:pPr>
            <w:r>
              <w:t xml:space="preserve">30,000</w:t>
            </w:r>
          </w:p>
        </w:tc>
        <w:tc>
          <w:tcPr/>
          <w:p>
            <w:pPr>
              <w:pStyle w:val="Compact"/>
              <w:jc w:val="left"/>
            </w:pPr>
            <w:r>
              <w:t xml:space="preserve">48</w:t>
            </w:r>
          </w:p>
        </w:tc>
        <w:tc>
          <w:tcPr/>
          <w:p>
            <w:pPr>
              <w:pStyle w:val="Compact"/>
              <w:jc w:val="left"/>
            </w:pPr>
            <w:r>
              <w:t xml:space="preserve">1,440,000</w:t>
            </w:r>
          </w:p>
        </w:tc>
        <w:tc>
          <w:tcPr/>
          <w:p>
            <w:pPr>
              <w:pStyle w:val="Compact"/>
              <w:jc w:val="left"/>
            </w:pPr>
            <w:r>
              <w:t xml:space="preserve">Feasibility Report FR-2025-008</w:t>
            </w:r>
          </w:p>
        </w:tc>
      </w:tr>
      <w:tr>
        <w:tc>
          <w:tcPr/>
          <w:p>
            <w:pPr>
              <w:pStyle w:val="Compact"/>
              <w:jc w:val="left"/>
            </w:pPr>
            <w:r>
              <w:t xml:space="preserve">5</w:t>
            </w:r>
          </w:p>
        </w:tc>
        <w:tc>
          <w:tcPr/>
          <w:p>
            <w:pPr>
              <w:pStyle w:val="Compact"/>
              <w:jc w:val="left"/>
            </w:pPr>
            <w:r>
              <w:t xml:space="preserve">Review and mathematical verification of KARI's internal algorithm for demand-supply equilibrium modeling. Identification of three logical inconsistencies in the original proof structure and provision of corrected derivations.</w:t>
            </w:r>
          </w:p>
        </w:tc>
        <w:tc>
          <w:tcPr/>
          <w:p>
            <w:pPr>
              <w:pStyle w:val="Compact"/>
              <w:jc w:val="left"/>
            </w:pPr>
            <w:r>
              <w:t xml:space="preserve">26,000</w:t>
            </w:r>
          </w:p>
        </w:tc>
        <w:tc>
          <w:tcPr/>
          <w:p>
            <w:pPr>
              <w:pStyle w:val="Compact"/>
              <w:jc w:val="left"/>
            </w:pPr>
            <w:r>
              <w:t xml:space="preserve">20</w:t>
            </w:r>
          </w:p>
        </w:tc>
        <w:tc>
          <w:tcPr/>
          <w:p>
            <w:pPr>
              <w:pStyle w:val="Compact"/>
              <w:jc w:val="left"/>
            </w:pPr>
            <w:r>
              <w:t xml:space="preserve">520,000</w:t>
            </w:r>
          </w:p>
        </w:tc>
        <w:tc>
          <w:tcPr/>
          <w:p>
            <w:pPr>
              <w:pStyle w:val="Compact"/>
              <w:jc w:val="left"/>
            </w:pPr>
            <w:r>
              <w:t xml:space="preserve">Correction Memorandum CM-019</w:t>
            </w:r>
          </w:p>
        </w:tc>
      </w:tr>
      <w:tr>
        <w:tc>
          <w:tcPr/>
          <w:p>
            <w:pPr>
              <w:pStyle w:val="Compact"/>
              <w:jc w:val="left"/>
            </w:pPr>
            <w:r>
              <w:t xml:space="preserve">6</w:t>
            </w:r>
          </w:p>
        </w:tc>
        <w:tc>
          <w:tcPr/>
          <w:p>
            <w:pPr>
              <w:pStyle w:val="Compact"/>
              <w:jc w:val="left"/>
            </w:pPr>
            <w:r>
              <w:t xml:space="preserve">Authorship and co-authorship of a journal article titled "Nonlinear Dynamical Systems in Metropolitan Transit Networks: A Kyoto Case Study," submitted to the Journal of Applied Mathematics in Japan.</w:t>
            </w:r>
          </w:p>
        </w:tc>
        <w:tc>
          <w:tcPr/>
          <w:p>
            <w:pPr>
              <w:pStyle w:val="Compact"/>
              <w:jc w:val="left"/>
            </w:pPr>
            <w:r>
              <w:t xml:space="preserve">45,000</w:t>
            </w:r>
          </w:p>
        </w:tc>
        <w:tc>
          <w:tcPr/>
          <w:p>
            <w:pPr>
              <w:pStyle w:val="Compact"/>
              <w:jc w:val="left"/>
            </w:pPr>
            <w:r>
              <w:t xml:space="preserve">16</w:t>
            </w:r>
          </w:p>
        </w:tc>
        <w:tc>
          <w:tcPr/>
          <w:p>
            <w:pPr>
              <w:pStyle w:val="Compact"/>
              <w:jc w:val="left"/>
            </w:pPr>
            <w:r>
              <w:t xml:space="preserve">720,000</w:t>
            </w:r>
          </w:p>
        </w:tc>
        <w:tc>
          <w:tcPr/>
          <w:p>
            <w:pPr>
              <w:pStyle w:val="Compact"/>
              <w:jc w:val="left"/>
            </w:pPr>
            <w:r>
              <w:t xml:space="preserve">Manuscript v3.0 (submitted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5,848,000 JPY</w:t>
            </w:r>
          </w:p>
        </w:tc>
      </w:tr>
      <w:tr>
        <w:tc>
          <w:tcPr/>
          <w:p>
            <w:pPr>
              <w:pStyle w:val="Compact"/>
              <w:jc w:val="left"/>
            </w:pPr>
            <w:r>
              <w:t xml:space="preserve">Consumption Tax (10% – Japan)</w:t>
            </w:r>
          </w:p>
        </w:tc>
        <w:tc>
          <w:tcPr/>
          <w:p>
            <w:pPr>
              <w:pStyle w:val="Compact"/>
              <w:jc w:val="left"/>
            </w:pPr>
            <w:r>
              <w:t xml:space="preserve">584,800 JPY</w:t>
            </w:r>
          </w:p>
        </w:tc>
      </w:tr>
      <w:tr>
        <w:tc>
          <w:tcPr/>
          <w:p>
            <w:pPr>
              <w:pStyle w:val="Compact"/>
              <w:jc w:val="left"/>
            </w:pPr>
            <w:r>
              <w:t xml:space="preserve">Grand Total Due</w:t>
            </w:r>
          </w:p>
        </w:tc>
        <w:tc>
          <w:tcPr/>
          <w:p>
            <w:pPr>
              <w:pStyle w:val="Compact"/>
              <w:jc w:val="left"/>
            </w:pPr>
            <w:r>
              <w:t xml:space="preserve">6,432,800 JPY</w:t>
            </w:r>
          </w:p>
        </w:tc>
      </w:tr>
    </w:tbl>
    <w:bookmarkStart w:id="24" w:name="payment-terms-important-notes"/>
    <w:p>
      <w:pPr>
        <w:pStyle w:val="Heading3"/>
      </w:pPr>
      <w:r>
        <w:t xml:space="preserve">Payment Terms &amp; Important Notes</w:t>
      </w:r>
    </w:p>
    <w:p>
      <w:pPr>
        <w:pStyle w:val="FirstParagraph"/>
      </w:pPr>
      <w:r>
        <w:t xml:space="preserve">This invoice is issued by an independent Mathematician operating from Kyoto, Japan, in accordance with the terms outlined in Contract No. KARI-2025-QC-0112. Payment is due within thirty (30) days of the issue date via bank transfer to the account specified below. Late payments will incur an interest charge of 1.5% per month as stipulated under Japanese commercial practice.</w:t>
      </w:r>
    </w:p>
    <w:p>
      <w:pPr>
        <w:pStyle w:val="BodyText"/>
      </w:pPr>
      <w:r>
        <w:t xml:space="preserve">All mathematical deliverables referenced in this invoice remain the intellectual property of the client (KARI) upon full payment, except for the Mathematician's pre-existing theorems, proof techniques, and general methodologies which remain the property of Dr. Tanaka. The journal article co-authorship rights are shared equally as per the signed publication agreement dated March 2025.</w:t>
      </w:r>
    </w:p>
    <w:p>
      <w:pPr>
        <w:pStyle w:val="BodyText"/>
      </w:pPr>
      <w:r>
        <w:t xml:space="preserve">This invoice complies with the Japanese Qualified Invoice System (適格請求書) requirements. The Corporation Tax Number listed above is registered with the National Tax Agency of Japan. Please retain this document for your corporate tax filing in Kyoto-fu.</w:t>
      </w:r>
    </w:p>
    <w:p>
      <w:pPr>
        <w:pStyle w:val="BodyText"/>
      </w:pPr>
      <w:r>
        <w:t xml:space="preserve">Should you require a revised invoice, a detailed itemized breakdown of any specific mathematical derivation, or clarification on any line item, please contact the undersigned Mathematician at the address or email provided in the header. All inquiries regarding this invoice should reference Invoice No. KYO-MATH-2025-0047.</w:t>
      </w:r>
    </w:p>
    <w:bookmarkEnd w:id="24"/>
    <w:bookmarkStart w:id="25" w:name="bank-transfer-details-japan"/>
    <w:p>
      <w:pPr>
        <w:pStyle w:val="Heading4"/>
      </w:pPr>
      <w:r>
        <w:t xml:space="preserve">Bank Transfer Details (Japan)</w:t>
      </w:r>
    </w:p>
    <w:p>
      <w:pPr>
        <w:pStyle w:val="FirstParagraph"/>
      </w:pPr>
      <w:r>
        <w:rPr>
          <w:bCs/>
          <w:b/>
        </w:rPr>
        <w:t xml:space="preserve">Bank:</w:t>
      </w:r>
      <w:r>
        <w:t xml:space="preserve"> </w:t>
      </w:r>
      <w:r>
        <w:t xml:space="preserve">Kyoto Bank, Higashiyama Branch</w:t>
      </w:r>
    </w:p>
    <w:p>
      <w:pPr>
        <w:pStyle w:val="BodyText"/>
      </w:pPr>
      <w:r>
        <w:rPr>
          <w:bCs/>
          <w:b/>
        </w:rPr>
        <w:t xml:space="preserve">Account Name:</w:t>
      </w:r>
      <w:r>
        <w:t xml:space="preserve"> </w:t>
      </w:r>
      <w:r>
        <w:t xml:space="preserve">TANAKA KENJI</w:t>
      </w:r>
    </w:p>
    <w:p>
      <w:pPr>
        <w:pStyle w:val="BodyText"/>
      </w:pPr>
      <w:r>
        <w:rPr>
          <w:bCs/>
          <w:b/>
        </w:rPr>
        <w:t xml:space="preserve">Account Number:</w:t>
      </w:r>
      <w:r>
        <w:t xml:space="preserve"> </w:t>
      </w:r>
      <w:r>
        <w:t xml:space="preserve">004-22-887654 (Ordinary Savings)</w:t>
      </w:r>
    </w:p>
    <w:p>
      <w:pPr>
        <w:pStyle w:val="BodyText"/>
      </w:pPr>
      <w:r>
        <w:rPr>
          <w:bCs/>
          <w:b/>
        </w:rPr>
        <w:t xml:space="preserve">SWIFT Code:</w:t>
      </w:r>
      <w:r>
        <w:t xml:space="preserve"> </w:t>
      </w:r>
      <w:r>
        <w:t xml:space="preserve">KYOTJPJT</w:t>
      </w:r>
    </w:p>
    <w:p>
      <w:pPr>
        <w:pStyle w:val="BodyText"/>
      </w:pPr>
      <w:r>
        <w:rPr>
          <w:bCs/>
          <w:b/>
        </w:rPr>
        <w:t xml:space="preserve">Reference:</w:t>
      </w:r>
      <w:r>
        <w:t xml:space="preserve"> </w:t>
      </w:r>
      <w:r>
        <w:t xml:space="preserve">KYO-MATH-2025-0047</w:t>
      </w:r>
    </w:p>
    <w:bookmarkEnd w:id="25"/>
    <w:p>
      <w:pPr>
        <w:pStyle w:val="BodyText"/>
      </w:pPr>
      <w:r>
        <w:rPr>
          <w:bCs/>
          <w:b/>
        </w:rPr>
        <w:t xml:space="preserve">Dr. Kenji Tanaka, Ph.D.</w:t>
      </w:r>
      <w:r>
        <w:br/>
      </w:r>
      <w:r>
        <w:t xml:space="preserve">Mathematician &amp; Consultant</w:t>
      </w:r>
      <w:r>
        <w:br/>
      </w:r>
      <w:r>
        <w:t xml:space="preserve">Kyoto, Japan</w:t>
      </w:r>
      <w:r>
        <w:br/>
      </w:r>
      <w:r>
        <w:t xml:space="preserve">Date: June 15, 2025</w:t>
      </w:r>
    </w:p>
    <w:p>
      <w:pPr>
        <w:pStyle w:val="BodyText"/>
      </w:pPr>
      <w:r>
        <w:rPr>
          <w:bCs/>
          <w:b/>
        </w:rPr>
        <w:t xml:space="preserve">Authorized Signatory – KARI</w:t>
      </w:r>
      <w:r>
        <w:br/>
      </w:r>
      <w:r>
        <w:t xml:space="preserve">Kyoto Advanced Research Institute</w:t>
      </w:r>
      <w:r>
        <w:br/>
      </w:r>
      <w:r>
        <w:t xml:space="preserve">Sakyo-ku, Kyoto, Japan</w:t>
      </w:r>
      <w:r>
        <w:br/>
      </w:r>
      <w:r>
        <w:t xml:space="preserve">Date: _______________</w:t>
      </w:r>
    </w:p>
    <w:p>
      <w:pPr>
        <w:pStyle w:val="BodyText"/>
      </w:pPr>
      <w:r>
        <w:t xml:space="preserve">Thank you for engaging the services of this independent Mathematician based in the historic city of Kyoto, Japan. We appreciate your continued partnership in advancing applied mathematical research.</w:t>
      </w:r>
    </w:p>
    <w:p>
      <w:pPr>
        <w:pStyle w:val="BodyText"/>
      </w:pPr>
      <w:r>
        <w:t xml:space="preserve">This invoice was generated electronically and is valid without a physical seal (hanko) in accordance with the Japanese Electronic Documents and Electronic Transactions Act (2001). A digital copy constitutes a legally binding financial document.</w:t>
      </w:r>
    </w:p>
    <w:p>
      <w:pPr>
        <w:pStyle w:val="BodyText"/>
      </w:pPr>
      <w:r>
        <w:t xml:space="preserve">© 2025 Dr. Kenji Tanaka – Mathematical Consulting, Kyoto, Japan. All rights reserved. Invoice KYO-MATH-2025-0047.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Japan Kyoto</dc:title>
  <dc:creator/>
  <dc:language>en</dc:language>
  <cp:keywords/>
  <dcterms:created xsi:type="dcterms:W3CDTF">2026-10-10T02:57:14Z</dcterms:created>
  <dcterms:modified xsi:type="dcterms:W3CDTF">2026-10-10T02:57:14Z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