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invoice"/>
    <w:p>
      <w:pPr>
        <w:pStyle w:val="Heading1"/>
      </w:pPr>
      <w:r>
        <w:t xml:space="preserve">INVOICE</w:t>
      </w:r>
    </w:p>
    <w:p>
      <w:pPr>
        <w:pStyle w:val="FirstParagraph"/>
      </w:pPr>
      <w:r>
        <w:t xml:space="preserve">Professional Mathematician Consulting Services</w:t>
      </w:r>
    </w:p>
    <w:p>
      <w:pPr>
        <w:pStyle w:val="BodyText"/>
      </w:pPr>
      <w:r>
        <w:t xml:space="preserve">Issued in Kuwait, Kuwait City</w:t>
      </w:r>
    </w:p>
    <w:p>
      <w:pPr>
        <w:pStyle w:val="BodyText"/>
      </w:pPr>
      <w:r>
        <w:t xml:space="preserve">Invoice No. KWT-MATH-2025-0047</w:t>
      </w:r>
    </w:p>
    <w:bookmarkEnd w:id="20"/>
    <w:bookmarkStart w:id="21" w:name="from-service-provider"/>
    <w:p>
      <w:pPr>
        <w:pStyle w:val="Heading3"/>
      </w:pPr>
      <w:r>
        <w:t xml:space="preserve">From (Service Provider):</w:t>
      </w:r>
    </w:p>
    <w:p>
      <w:pPr>
        <w:pStyle w:val="FirstParagraph"/>
      </w:pPr>
      <w:r>
        <w:rPr>
          <w:bCs/>
          <w:b/>
        </w:rPr>
        <w:t xml:space="preserve">Dr. Ahmad Al-Rashidi, Ph.D. in Applied Mathematics</w:t>
      </w:r>
    </w:p>
    <w:p>
      <w:pPr>
        <w:pStyle w:val="BodyText"/>
      </w:pPr>
      <w:r>
        <w:t xml:space="preserve">Certified Mathematician &amp; Quantitative Analyst</w:t>
      </w:r>
    </w:p>
    <w:p>
      <w:pPr>
        <w:pStyle w:val="BodyText"/>
      </w:pPr>
      <w:r>
        <w:t xml:space="preserve">Office 12, Al-Salem Tower, Block 2</w:t>
      </w:r>
    </w:p>
    <w:p>
      <w:pPr>
        <w:pStyle w:val="BodyText"/>
      </w:pPr>
      <w:r>
        <w:t xml:space="preserve">Kuwait City, Kuwait</w:t>
      </w:r>
    </w:p>
    <w:p>
      <w:pPr>
        <w:pStyle w:val="BodyText"/>
      </w:pPr>
      <w:r>
        <w:t xml:space="preserve">Email: a.alrashidi@mathconsult-kw.com</w:t>
      </w:r>
    </w:p>
    <w:p>
      <w:pPr>
        <w:pStyle w:val="BodyText"/>
      </w:pPr>
      <w:r>
        <w:t xml:space="preserve">Phone: +965-2244-7890</w:t>
      </w:r>
    </w:p>
    <w:p>
      <w:pPr>
        <w:pStyle w:val="BodyText"/>
      </w:pPr>
      <w:r>
        <w:t xml:space="preserve">Commercial Registration: CR-2019-44821</w:t>
      </w:r>
    </w:p>
    <w:bookmarkEnd w:id="21"/>
    <w:bookmarkStart w:id="22" w:name="bill-to-client"/>
    <w:p>
      <w:pPr>
        <w:pStyle w:val="Heading3"/>
      </w:pPr>
      <w:r>
        <w:t xml:space="preserve">Bill To (Client):</w:t>
      </w:r>
    </w:p>
    <w:p>
      <w:pPr>
        <w:pStyle w:val="FirstParagraph"/>
      </w:pPr>
      <w:r>
        <w:rPr>
          <w:bCs/>
          <w:b/>
        </w:rPr>
        <w:t xml:space="preserve">Kuwait National Bank – Quantitative Risk Division</w:t>
      </w:r>
    </w:p>
    <w:p>
      <w:pPr>
        <w:pStyle w:val="BodyText"/>
      </w:pPr>
      <w:r>
        <w:t xml:space="preserve">Attn: Mr. Faisal Al-Sabah, Head of Risk Modeling</w:t>
      </w:r>
    </w:p>
    <w:p>
      <w:pPr>
        <w:pStyle w:val="BodyText"/>
      </w:pPr>
      <w:r>
        <w:t xml:space="preserve">Al-Burj Tower, Block 4</w:t>
      </w:r>
    </w:p>
    <w:p>
      <w:pPr>
        <w:pStyle w:val="BodyText"/>
      </w:pPr>
      <w:r>
        <w:t xml:space="preserve">Kuwait City, Kuwait</w:t>
      </w:r>
    </w:p>
    <w:p>
      <w:pPr>
        <w:pStyle w:val="BodyText"/>
      </w:pPr>
      <w:r>
        <w:t xml:space="preserve">Email: f.alsabah@knb-kw.com</w:t>
      </w:r>
    </w:p>
    <w:p>
      <w:pPr>
        <w:pStyle w:val="BodyText"/>
      </w:pPr>
      <w:r>
        <w:t xml:space="preserve">Phone: +965-2255-3311</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 (15 days)</w:t>
      </w:r>
    </w:p>
    <w:p>
      <w:pPr>
        <w:pStyle w:val="BodyText"/>
      </w:pPr>
      <w:r>
        <w:rPr>
          <w:bCs/>
          <w:b/>
        </w:rPr>
        <w:t xml:space="preserve">Payment Terms:</w:t>
      </w:r>
      <w:r>
        <w:t xml:space="preserve"> </w:t>
      </w:r>
      <w:r>
        <w:t xml:space="preserve">Net 15</w:t>
      </w:r>
    </w:p>
    <w:p>
      <w:pPr>
        <w:pStyle w:val="BodyText"/>
      </w:pPr>
      <w:r>
        <w:rPr>
          <w:bCs/>
          <w:b/>
        </w:rPr>
        <w:t xml:space="preserve">Currency:</w:t>
      </w:r>
      <w:r>
        <w:t xml:space="preserve"> </w:t>
      </w:r>
      <w:r>
        <w:t xml:space="preserve">Kuwaiti Dinar (KWD)</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Stochastic Portfolio Optimization</w:t>
      </w:r>
    </w:p>
    <w:p>
      <w:pPr>
        <w:pStyle w:val="BodyText"/>
      </w:pPr>
      <w:r>
        <w:rPr>
          <w:bCs/>
          <w:b/>
        </w:rPr>
        <w:t xml:space="preserve">Contract No.:</w:t>
      </w:r>
      <w:r>
        <w:t xml:space="preserve"> </w:t>
      </w:r>
      <w:r>
        <w:t xml:space="preserve">KNB-QRD-2025-0112</w:t>
      </w:r>
    </w:p>
    <w:p>
      <w:pPr>
        <w:pStyle w:val="BodyText"/>
      </w:pPr>
      <w:r>
        <w:rPr>
          <w:bCs/>
          <w:b/>
        </w:rPr>
        <w:t xml:space="preserve">Phase:</w:t>
      </w:r>
      <w:r>
        <w:t xml:space="preserve"> </w:t>
      </w:r>
      <w:r>
        <w:t xml:space="preserve">3 of 4</w:t>
      </w:r>
    </w:p>
    <w:p>
      <w:pPr>
        <w:pStyle w:val="BodyText"/>
      </w:pPr>
      <w:r>
        <w:rPr>
          <w:bCs/>
          <w:b/>
        </w:rPr>
        <w:t xml:space="preserve">Location:</w:t>
      </w:r>
      <w:r>
        <w:t xml:space="preserve"> </w:t>
      </w:r>
      <w:r>
        <w:t xml:space="preserve">Kuwait City, Kuwait</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Hours / Units</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Advanced stochastic calculus modeling for derivative pricing frameworks. The Mathematician developed and validated a novel partial differential equation solver tailored to the Kuwaiti financial derivatives market, incorporating local volatility structures observed in Kuwait City trading sessions.</w:t>
            </w:r>
          </w:p>
        </w:tc>
        <w:tc>
          <w:tcPr/>
          <w:p>
            <w:pPr>
              <w:pStyle w:val="Compact"/>
              <w:jc w:val="left"/>
            </w:pPr>
            <w:r>
              <w:t xml:space="preserve">48 hours</w:t>
            </w:r>
          </w:p>
        </w:tc>
        <w:tc>
          <w:tcPr/>
          <w:p>
            <w:pPr>
              <w:pStyle w:val="Compact"/>
              <w:jc w:val="left"/>
            </w:pPr>
            <w:r>
              <w:t xml:space="preserve">45.000</w:t>
            </w:r>
          </w:p>
        </w:tc>
        <w:tc>
          <w:tcPr/>
          <w:p>
            <w:pPr>
              <w:pStyle w:val="Compact"/>
              <w:jc w:val="left"/>
            </w:pPr>
            <w:r>
              <w:t xml:space="preserve">2,160.000</w:t>
            </w:r>
          </w:p>
        </w:tc>
      </w:tr>
      <w:tr>
        <w:tc>
          <w:tcPr/>
          <w:p>
            <w:pPr>
              <w:pStyle w:val="Compact"/>
              <w:jc w:val="left"/>
            </w:pPr>
            <w:r>
              <w:t xml:space="preserve">2</w:t>
            </w:r>
          </w:p>
        </w:tc>
        <w:tc>
          <w:tcPr/>
          <w:p>
            <w:pPr>
              <w:pStyle w:val="Compact"/>
              <w:jc w:val="left"/>
            </w:pPr>
            <w:r>
              <w:t xml:space="preserve">Monte Carlo simulation design and variance reduction techniques. The Mathematician engineered a quasi-random number generation pipeline to reduce computational error by 34 percent, enabling the Quantitative Risk Division to run 10 million path simulations within acceptable timeframes on existing Kuwait City server infrastructure.</w:t>
            </w:r>
          </w:p>
        </w:tc>
        <w:tc>
          <w:tcPr/>
          <w:p>
            <w:pPr>
              <w:pStyle w:val="Compact"/>
              <w:jc w:val="left"/>
            </w:pPr>
            <w:r>
              <w:t xml:space="preserve">36 hours</w:t>
            </w:r>
          </w:p>
        </w:tc>
        <w:tc>
          <w:tcPr/>
          <w:p>
            <w:pPr>
              <w:pStyle w:val="Compact"/>
              <w:jc w:val="left"/>
            </w:pPr>
            <w:r>
              <w:t xml:space="preserve">45.000</w:t>
            </w:r>
          </w:p>
        </w:tc>
        <w:tc>
          <w:tcPr/>
          <w:p>
            <w:pPr>
              <w:pStyle w:val="Compact"/>
              <w:jc w:val="left"/>
            </w:pPr>
            <w:r>
              <w:t xml:space="preserve">1,620.000</w:t>
            </w:r>
          </w:p>
        </w:tc>
      </w:tr>
      <w:tr>
        <w:tc>
          <w:tcPr/>
          <w:p>
            <w:pPr>
              <w:pStyle w:val="Compact"/>
              <w:jc w:val="left"/>
            </w:pPr>
            <w:r>
              <w:t xml:space="preserve">3</w:t>
            </w:r>
          </w:p>
        </w:tc>
        <w:tc>
          <w:tcPr/>
          <w:p>
            <w:pPr>
              <w:pStyle w:val="Compact"/>
              <w:jc w:val="left"/>
            </w:pPr>
            <w:r>
              <w:t xml:space="preserve">Optimization algorithm development using convex and non-convex mathematical programming. The Mathematician formulated a multi-objective optimization model for portfolio rebalancing under Kuwaiti regulatory constraints, including Sharia-compliant investment boundaries and sector concentration limits mandated by the Central Bank of Kuwait.</w:t>
            </w:r>
          </w:p>
        </w:tc>
        <w:tc>
          <w:tcPr/>
          <w:p>
            <w:pPr>
              <w:pStyle w:val="Compact"/>
              <w:jc w:val="left"/>
            </w:pPr>
            <w:r>
              <w:t xml:space="preserve">52 hours</w:t>
            </w:r>
          </w:p>
        </w:tc>
        <w:tc>
          <w:tcPr/>
          <w:p>
            <w:pPr>
              <w:pStyle w:val="Compact"/>
              <w:jc w:val="left"/>
            </w:pPr>
            <w:r>
              <w:t xml:space="preserve">45.000</w:t>
            </w:r>
          </w:p>
        </w:tc>
        <w:tc>
          <w:tcPr/>
          <w:p>
            <w:pPr>
              <w:pStyle w:val="Compact"/>
              <w:jc w:val="left"/>
            </w:pPr>
            <w:r>
              <w:t xml:space="preserve">2,340.000</w:t>
            </w:r>
          </w:p>
        </w:tc>
      </w:tr>
      <w:tr>
        <w:tc>
          <w:tcPr/>
          <w:p>
            <w:pPr>
              <w:pStyle w:val="Compact"/>
              <w:jc w:val="left"/>
            </w:pPr>
            <w:r>
              <w:t xml:space="preserve">4</w:t>
            </w:r>
          </w:p>
        </w:tc>
        <w:tc>
          <w:tcPr/>
          <w:p>
            <w:pPr>
              <w:pStyle w:val="Compact"/>
              <w:jc w:val="left"/>
            </w:pPr>
            <w:r>
              <w:t xml:space="preserve">Mathematical proof verification and peer review of risk model documentation. The Mathematician conducted a rigorous formal verification of all analytical derivations, ensuring that every theorem, lemma, and corollary presented in the final risk report adhered to the highest standards of mathematical logic and could withstand regulatory audit by the Kuwait Financial Supervision Authority.</w:t>
            </w:r>
          </w:p>
        </w:tc>
        <w:tc>
          <w:tcPr/>
          <w:p>
            <w:pPr>
              <w:pStyle w:val="Compact"/>
              <w:jc w:val="left"/>
            </w:pPr>
            <w:r>
              <w:t xml:space="preserve">24 hours</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5</w:t>
            </w:r>
          </w:p>
        </w:tc>
        <w:tc>
          <w:tcPr/>
          <w:p>
            <w:pPr>
              <w:pStyle w:val="Compact"/>
              <w:jc w:val="left"/>
            </w:pPr>
            <w:r>
              <w:t xml:space="preserve">On-site technical training and knowledge transfer sessions in Kuwait City. The Mathematician delivered four half-day workshops for the Quantitative Risk Division team, covering advanced topics in functional analysis, measure-theoretic probability, and numerical methods for solving high-dimensional integral equations relevant to the Kuwaiti banking sector.</w:t>
            </w:r>
          </w:p>
        </w:tc>
        <w:tc>
          <w:tcPr/>
          <w:p>
            <w:pPr>
              <w:pStyle w:val="Compact"/>
              <w:jc w:val="left"/>
            </w:pPr>
            <w:r>
              <w:t xml:space="preserve">16 hours</w:t>
            </w:r>
          </w:p>
        </w:tc>
        <w:tc>
          <w:tcPr/>
          <w:p>
            <w:pPr>
              <w:pStyle w:val="Compact"/>
              <w:jc w:val="left"/>
            </w:pPr>
            <w:r>
              <w:t xml:space="preserve">55.000</w:t>
            </w:r>
          </w:p>
        </w:tc>
        <w:tc>
          <w:tcPr/>
          <w:p>
            <w:pPr>
              <w:pStyle w:val="Compact"/>
              <w:jc w:val="left"/>
            </w:pPr>
            <w:r>
              <w:t xml:space="preserve">880.000</w:t>
            </w:r>
          </w:p>
        </w:tc>
      </w:tr>
      <w:tr>
        <w:tc>
          <w:tcPr/>
          <w:p>
            <w:pPr>
              <w:pStyle w:val="Compact"/>
              <w:jc w:val="left"/>
            </w:pPr>
            <w:r>
              <w:t xml:space="preserve">6</w:t>
            </w:r>
          </w:p>
        </w:tc>
        <w:tc>
          <w:tcPr/>
          <w:p>
            <w:pPr>
              <w:pStyle w:val="Compact"/>
              <w:jc w:val="left"/>
            </w:pPr>
            <w:r>
              <w:t xml:space="preserve">Preparation of the final technical report and mathematical appendix. The Mathematician authored a 120-page comprehensive document detailing all model assumptions, mathematical derivations, convergence proofs, sensitivity analyses, and validation results. The report was delivered in both English and Arabic to satisfy Kuwaiti regulatory filing requirements in Kuwait City.</w:t>
            </w:r>
          </w:p>
        </w:tc>
        <w:tc>
          <w:tcPr/>
          <w:p>
            <w:pPr>
              <w:pStyle w:val="Compact"/>
              <w:jc w:val="left"/>
            </w:pPr>
            <w:r>
              <w:t xml:space="preserve">30 hours</w:t>
            </w:r>
          </w:p>
        </w:tc>
        <w:tc>
          <w:tcPr/>
          <w:p>
            <w:pPr>
              <w:pStyle w:val="Compact"/>
              <w:jc w:val="left"/>
            </w:pPr>
            <w:r>
              <w:t xml:space="preserve">45.000</w:t>
            </w:r>
          </w:p>
        </w:tc>
        <w:tc>
          <w:tcPr/>
          <w:p>
            <w:pPr>
              <w:pStyle w:val="Compact"/>
              <w:jc w:val="left"/>
            </w:pPr>
            <w:r>
              <w:t xml:space="preserve">1,350.000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9,430.000 KWD</w:t>
            </w:r>
          </w:p>
        </w:tc>
      </w:tr>
      <w:tr>
        <w:tc>
          <w:tcPr/>
          <w:p>
            <w:pPr>
              <w:pStyle w:val="Compact"/>
              <w:jc w:val="left"/>
            </w:pPr>
            <w:r>
              <w:t xml:space="preserve">VAT (5% – Kuwait Standard Rate)</w:t>
            </w:r>
          </w:p>
        </w:tc>
        <w:tc>
          <w:tcPr/>
          <w:p>
            <w:pPr>
              <w:pStyle w:val="Compact"/>
              <w:jc w:val="right"/>
            </w:pPr>
            <w:r>
              <w:t xml:space="preserve">471.500 KWD</w:t>
            </w:r>
          </w:p>
        </w:tc>
      </w:tr>
      <w:tr>
        <w:tc>
          <w:tcPr/>
          <w:p>
            <w:pPr>
              <w:pStyle w:val="Compact"/>
              <w:jc w:val="left"/>
            </w:pPr>
            <w:r>
              <w:t xml:space="preserve">Travel &amp; Local Transport (Kuwait City)</w:t>
            </w:r>
          </w:p>
        </w:tc>
        <w:tc>
          <w:tcPr/>
          <w:p>
            <w:pPr>
              <w:pStyle w:val="Compact"/>
              <w:jc w:val="right"/>
            </w:pPr>
            <w:r>
              <w:t xml:space="preserve">120.000 KWD</w:t>
            </w:r>
          </w:p>
        </w:tc>
      </w:tr>
      <w:tr>
        <w:tc>
          <w:tcPr/>
          <w:p>
            <w:pPr>
              <w:pStyle w:val="Compact"/>
              <w:jc w:val="left"/>
            </w:pPr>
            <w:r>
              <w:t xml:space="preserve">Grand Total Due</w:t>
            </w:r>
          </w:p>
        </w:tc>
        <w:tc>
          <w:tcPr/>
          <w:p>
            <w:pPr>
              <w:pStyle w:val="Compact"/>
              <w:jc w:val="right"/>
            </w:pPr>
            <w:r>
              <w:t xml:space="preserve">10,021.500 KWD</w:t>
            </w:r>
          </w:p>
        </w:tc>
      </w:tr>
    </w:tbl>
    <w:bookmarkStart w:id="25" w:name="payment-instructions-notes"/>
    <w:p>
      <w:pPr>
        <w:pStyle w:val="Heading3"/>
      </w:pPr>
      <w:r>
        <w:t xml:space="preserve">Payment Instructions &amp; Notes</w:t>
      </w:r>
    </w:p>
    <w:p>
      <w:pPr>
        <w:pStyle w:val="FirstParagraph"/>
      </w:pPr>
      <w:r>
        <w:rPr>
          <w:bCs/>
          <w:b/>
        </w:rPr>
        <w:t xml:space="preserve">Bank Transfer:</w:t>
      </w:r>
      <w:r>
        <w:t xml:space="preserve"> </w:t>
      </w:r>
      <w:r>
        <w:t xml:space="preserve">Kuwait National Bank, Branch: Kuwait City Main</w:t>
      </w:r>
    </w:p>
    <w:p>
      <w:pPr>
        <w:pStyle w:val="BodyText"/>
      </w:pPr>
      <w:r>
        <w:t xml:space="preserve">Account Name: Dr. Ahmad Al-Rashidi – Mathematical Consulting LLC</w:t>
      </w:r>
    </w:p>
    <w:p>
      <w:pPr>
        <w:pStyle w:val="BodyText"/>
      </w:pPr>
      <w:r>
        <w:t xml:space="preserve">IBAN: KW81 KNBK 0000 1234 5678 9012 3456</w:t>
      </w:r>
    </w:p>
    <w:p>
      <w:pPr>
        <w:pStyle w:val="BodyText"/>
      </w:pPr>
      <w:r>
        <w:t xml:space="preserve">SWIFT/BIC: KNBK KW KW</w:t>
      </w:r>
    </w:p>
    <w:p>
      <w:pPr>
        <w:pStyle w:val="BodyText"/>
      </w:pPr>
      <w:r>
        <w:t xml:space="preserve">Please reference Invoice No. KWT-MATH-2025-0047 in all payment communications.</w:t>
      </w:r>
    </w:p>
    <w:p>
      <w:pPr>
        <w:pStyle w:val="BodyText"/>
      </w:pPr>
      <w:r>
        <w:rPr>
          <w:bCs/>
          <w:b/>
        </w:rPr>
        <w:t xml:space="preserve">Important:</w:t>
      </w:r>
      <w:r>
        <w:t xml:space="preserve"> </w:t>
      </w:r>
      <w:r>
        <w:t xml:space="preserve">This Invoice is issued in accordance with the Commercial Law of Kuwait and the regulations of the Public Authority for Manpower. All services rendered by the Mathematician were performed in full compliance with Kuwaiti labor and professional licensing laws. The Mathematician holds a valid professional practice license issued by the Kuwait Ministry of Commerce and Industry, registered under the category of "Mathematical and Quantitative Consulting Services."</w:t>
      </w:r>
    </w:p>
    <w:p>
      <w:pPr>
        <w:pStyle w:val="BodyText"/>
      </w:pPr>
      <w:r>
        <w:rPr>
          <w:bCs/>
          <w:b/>
        </w:rPr>
        <w:t xml:space="preserve">Dispute Resolution:</w:t>
      </w:r>
      <w:r>
        <w:t xml:space="preserve"> </w:t>
      </w:r>
      <w:r>
        <w:t xml:space="preserve">Any disputes arising from this Invoice shall be resolved through the Kuwait Commercial Courts in Kuwait City, in accordance with the Kuwaiti Code of Civil and Commercial Procedure.</w:t>
      </w:r>
    </w:p>
    <w:p>
      <w:pPr>
        <w:pStyle w:val="BodyText"/>
      </w:pPr>
      <w:r>
        <w:rPr>
          <w:bCs/>
          <w:b/>
        </w:rPr>
        <w:t xml:space="preserve">Confidentiality:</w:t>
      </w:r>
      <w:r>
        <w:t xml:space="preserve"> </w:t>
      </w:r>
      <w:r>
        <w:t xml:space="preserve">All mathematical models, algorithms, proofs, and proprietary methodologies delivered under this engagement remain the exclusive intellectual property of the client. The Mathematician agrees to maintain strict confidentiality regarding all data, parameters, and financial information accessed during the course of work in Kuwait City.</w:t>
      </w:r>
    </w:p>
    <w:bookmarkEnd w:id="25"/>
    <w:p>
      <w:pPr>
        <w:pStyle w:val="BodyText"/>
      </w:pPr>
      <w:r>
        <w:t xml:space="preserve">This Invoice was generated and issued by a licensed Mathematician operating in Kuwait, Kuwait City.</w:t>
      </w:r>
    </w:p>
    <w:p>
      <w:pPr>
        <w:pStyle w:val="BodyText"/>
      </w:pPr>
      <w:r>
        <w:t xml:space="preserve">Dr. Ahmad Al-Rashidi, Ph.D. | Mathematical &amp; Quantitative Consulting | Kuwait City, Kuwait</w:t>
      </w:r>
    </w:p>
    <w:p>
      <w:pPr>
        <w:pStyle w:val="BodyText"/>
      </w:pPr>
      <w:r>
        <w:t xml:space="preserve">Commercial Registration: CR-2019-44821 | VAT Registration: 108345678-00003</w:t>
      </w:r>
    </w:p>
    <w:p>
      <w:pPr>
        <w:pStyle w:val="BodyText"/>
      </w:pPr>
      <w:r>
        <w:t xml:space="preserve">Thank you for your business. We look forward to continuing our professional collaboration in Kuwait City.</w:t>
      </w:r>
    </w:p>
    <w:p>
      <w:pPr>
        <w:pStyle w:val="BodyText"/>
      </w:pPr>
      <w:r>
        <w:t xml:space="preserve">This is a computer-generated Invoice and does not require a physical signature. It is valid as an electronic document under Kuwaiti e-transaction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Kuwait Kuwait City</dc:title>
  <dc:creator/>
  <dc:language>en</dc:language>
  <cp:keywords/>
  <dcterms:created xsi:type="dcterms:W3CDTF">2026-10-10T01:16:55Z</dcterms:created>
  <dcterms:modified xsi:type="dcterms:W3CDTF">2026-10-10T01:16:55Z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