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apex-mathematical-consulting-group"/>
    <w:p>
      <w:pPr>
        <w:pStyle w:val="Heading1"/>
      </w:pPr>
      <w:r>
        <w:t xml:space="preserve">Apex Mathematical Consulting Group</w:t>
      </w:r>
    </w:p>
    <w:p>
      <w:pPr>
        <w:pStyle w:val="FirstParagraph"/>
      </w:pPr>
      <w:r>
        <w:t xml:space="preserve">Professional Mathematician Services</w:t>
      </w:r>
    </w:p>
    <w:p>
      <w:pPr>
        <w:pStyle w:val="BodyText"/>
      </w:pPr>
      <w:r>
        <w:t xml:space="preserve">Av. Paseo de la Reforma 222, Piso 14</w:t>
      </w:r>
    </w:p>
    <w:p>
      <w:pPr>
        <w:pStyle w:val="BodyText"/>
      </w:pPr>
      <w:r>
        <w:t xml:space="preserve">Col. Cuauhtémoc, C.P. 06600</w:t>
      </w:r>
    </w:p>
    <w:p>
      <w:pPr>
        <w:pStyle w:val="BodyText"/>
      </w:pPr>
      <w:r>
        <w:t xml:space="preserve">Mexico Mexico City, Mexico</w:t>
      </w:r>
    </w:p>
    <w:p>
      <w:pPr>
        <w:pStyle w:val="BodyText"/>
      </w:pPr>
      <w:r>
        <w:t xml:space="preserve">RFC: AMC150820XYZ</w:t>
      </w:r>
    </w:p>
    <w:p>
      <w:pPr>
        <w:pStyle w:val="BodyText"/>
      </w:pPr>
      <w:r>
        <w:t xml:space="preserve">Phone: +52 (55) 5512-3456</w:t>
      </w:r>
    </w:p>
    <w:p>
      <w:pPr>
        <w:pStyle w:val="BodyText"/>
      </w:pPr>
      <w:r>
        <w:t xml:space="preserve">Email: billing@apexmathconsulting.mx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INV-2025-MX-0487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Mexico Mexico City</w:t>
      </w:r>
    </w:p>
    <w:bookmarkEnd w:id="21"/>
    <w:bookmarkStart w:id="22" w:name="billed-to"/>
    <w:p>
      <w:pPr>
        <w:pStyle w:val="Heading3"/>
      </w:pPr>
      <w:r>
        <w:t xml:space="preserve">Billed To</w:t>
      </w:r>
    </w:p>
    <w:p>
      <w:pPr>
        <w:pStyle w:val="FirstParagraph"/>
      </w:pPr>
      <w:r>
        <w:rPr>
          <w:bCs/>
          <w:b/>
        </w:rPr>
        <w:t xml:space="preserve">Grupo Financiero del Valle, S.A. de C.V.</w:t>
      </w:r>
    </w:p>
    <w:p>
      <w:pPr>
        <w:pStyle w:val="BodyText"/>
      </w:pPr>
      <w:r>
        <w:t xml:space="preserve">Attn: Lic. María Fernanda Gutiérrez</w:t>
      </w:r>
    </w:p>
    <w:p>
      <w:pPr>
        <w:pStyle w:val="BodyText"/>
      </w:pPr>
      <w:r>
        <w:t xml:space="preserve">Director of Quantitative Research</w:t>
      </w:r>
    </w:p>
    <w:p>
      <w:pPr>
        <w:pStyle w:val="BodyText"/>
      </w:pPr>
      <w:r>
        <w:t xml:space="preserve">Av. Insurgentes Sur 1500, Piso 8</w:t>
      </w:r>
    </w:p>
    <w:p>
      <w:pPr>
        <w:pStyle w:val="BodyText"/>
      </w:pPr>
      <w:r>
        <w:t xml:space="preserve">Col. Del Valle Centro, C.P. 03100</w:t>
      </w:r>
    </w:p>
    <w:p>
      <w:pPr>
        <w:pStyle w:val="BodyText"/>
      </w:pPr>
      <w:r>
        <w:t xml:space="preserve">Mexico Mexico City, Mexico</w:t>
      </w:r>
    </w:p>
    <w:p>
      <w:pPr>
        <w:pStyle w:val="BodyText"/>
      </w:pPr>
      <w:r>
        <w:t xml:space="preserve">RFC: GFD120515AB1</w:t>
      </w:r>
    </w:p>
    <w:p>
      <w:pPr>
        <w:pStyle w:val="BodyText"/>
      </w:pPr>
      <w:r>
        <w:t xml:space="preserve">Email: m.gutierrez@grupofinvalle.mx</w:t>
      </w:r>
    </w:p>
    <w:bookmarkEnd w:id="22"/>
    <w:bookmarkStart w:id="23" w:name="service-provider"/>
    <w:p>
      <w:pPr>
        <w:pStyle w:val="Heading3"/>
      </w:pPr>
      <w:r>
        <w:t xml:space="preserve">Service Provider</w:t>
      </w:r>
    </w:p>
    <w:p>
      <w:pPr>
        <w:pStyle w:val="FirstParagraph"/>
      </w:pPr>
      <w:r>
        <w:rPr>
          <w:bCs/>
          <w:b/>
        </w:rPr>
        <w:t xml:space="preserve">Dr. Alejandro Ramírez Torres</w:t>
      </w:r>
    </w:p>
    <w:p>
      <w:pPr>
        <w:pStyle w:val="BodyText"/>
      </w:pPr>
      <w:r>
        <w:t xml:space="preserve">Senior Mathematician &amp; Quantitative Analyst</w:t>
      </w:r>
    </w:p>
    <w:p>
      <w:pPr>
        <w:pStyle w:val="BodyText"/>
      </w:pPr>
      <w:r>
        <w:t xml:space="preserve">Ph.D. in Applied Mathematics, UNAM</w:t>
      </w:r>
    </w:p>
    <w:p>
      <w:pPr>
        <w:pStyle w:val="BodyText"/>
      </w:pPr>
      <w:r>
        <w:t xml:space="preserve">Professional License: MAT-MX-2019-0042</w:t>
      </w:r>
    </w:p>
    <w:p>
      <w:pPr>
        <w:pStyle w:val="BodyText"/>
      </w:pPr>
      <w:r>
        <w:t xml:space="preserve">Office: Av. Paseo de la Reforma 222, Piso 14</w:t>
      </w:r>
    </w:p>
    <w:p>
      <w:pPr>
        <w:pStyle w:val="BodyText"/>
      </w:pPr>
      <w:r>
        <w:t xml:space="preserve">Col. Cuauhtémoc, C.P. 06600</w:t>
      </w:r>
    </w:p>
    <w:p>
      <w:pPr>
        <w:pStyle w:val="BodyText"/>
      </w:pPr>
      <w:r>
        <w:t xml:space="preserve">Mexico Mexico City, Mexico</w:t>
      </w:r>
    </w:p>
    <w:p>
      <w:pPr>
        <w:pStyle w:val="BodyText"/>
      </w:pPr>
      <w:r>
        <w:t xml:space="preserve">Email: a.ramirez@apexmathconsulting.mx</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Advanced stochastic modeling and risk assessment for portfolio optimization. The Mathematician developed and validated Monte Carlo simulation frameworks to evaluate downside risk across 340 financial instruments held by the client in Mexico Mexico City operations.</w:t>
            </w:r>
          </w:p>
        </w:tc>
        <w:tc>
          <w:tcPr/>
          <w:p>
            <w:pPr>
              <w:pStyle w:val="Compact"/>
              <w:jc w:val="left"/>
            </w:pPr>
            <w:r>
              <w:t xml:space="preserve">42</w:t>
            </w:r>
          </w:p>
        </w:tc>
        <w:tc>
          <w:tcPr/>
          <w:p>
            <w:pPr>
              <w:pStyle w:val="Compact"/>
              <w:jc w:val="left"/>
            </w:pPr>
            <w:r>
              <w:t xml:space="preserve">$2,850.00</w:t>
            </w:r>
          </w:p>
        </w:tc>
        <w:tc>
          <w:tcPr/>
          <w:p>
            <w:pPr>
              <w:pStyle w:val="Compact"/>
              <w:jc w:val="left"/>
            </w:pPr>
            <w:r>
              <w:t xml:space="preserve">$119,700.00</w:t>
            </w:r>
          </w:p>
        </w:tc>
      </w:tr>
      <w:tr>
        <w:tc>
          <w:tcPr/>
          <w:p>
            <w:pPr>
              <w:pStyle w:val="Compact"/>
              <w:jc w:val="left"/>
            </w:pPr>
            <w:r>
              <w:t xml:space="preserve">2</w:t>
            </w:r>
          </w:p>
        </w:tc>
        <w:tc>
          <w:tcPr/>
          <w:p>
            <w:pPr>
              <w:pStyle w:val="Compact"/>
              <w:jc w:val="left"/>
            </w:pPr>
            <w:r>
              <w:t xml:space="preserve">Derivation and implementation of novel partial differential equation (PDE) solvers for real-time pricing of exotic derivatives. The Mathematician delivered a complete numerical methodology including convergence proofs and error bounds, tailored to the regulatory environment of Mexico Mexico City financial markets.</w:t>
            </w:r>
          </w:p>
        </w:tc>
        <w:tc>
          <w:tcPr/>
          <w:p>
            <w:pPr>
              <w:pStyle w:val="Compact"/>
              <w:jc w:val="left"/>
            </w:pPr>
            <w:r>
              <w:t xml:space="preserve">36</w:t>
            </w:r>
          </w:p>
        </w:tc>
        <w:tc>
          <w:tcPr/>
          <w:p>
            <w:pPr>
              <w:pStyle w:val="Compact"/>
              <w:jc w:val="left"/>
            </w:pPr>
            <w:r>
              <w:t xml:space="preserve">$2,850.00</w:t>
            </w:r>
          </w:p>
        </w:tc>
        <w:tc>
          <w:tcPr/>
          <w:p>
            <w:pPr>
              <w:pStyle w:val="Compact"/>
              <w:jc w:val="left"/>
            </w:pPr>
            <w:r>
              <w:t xml:space="preserve">$102,600.00</w:t>
            </w:r>
          </w:p>
        </w:tc>
      </w:tr>
      <w:tr>
        <w:tc>
          <w:tcPr/>
          <w:p>
            <w:pPr>
              <w:pStyle w:val="Compact"/>
              <w:jc w:val="left"/>
            </w:pPr>
            <w:r>
              <w:t xml:space="preserve">3</w:t>
            </w:r>
          </w:p>
        </w:tc>
        <w:tc>
          <w:tcPr/>
          <w:p>
            <w:pPr>
              <w:pStyle w:val="Compact"/>
              <w:jc w:val="left"/>
            </w:pPr>
            <w:r>
              <w:t xml:space="preserve">Statistical hypothesis testing and Bayesian inference for credit default swap (CDS) spread analysis. The Mathematician conducted a comprehensive review of 12-month historical data, producing a 45-page technical report with reproducible code for the client's internal risk team in Mexico Mexico City.</w:t>
            </w:r>
          </w:p>
        </w:tc>
        <w:tc>
          <w:tcPr/>
          <w:p>
            <w:pPr>
              <w:pStyle w:val="Compact"/>
              <w:jc w:val="left"/>
            </w:pPr>
            <w:r>
              <w:t xml:space="preserve">28</w:t>
            </w:r>
          </w:p>
        </w:tc>
        <w:tc>
          <w:tcPr/>
          <w:p>
            <w:pPr>
              <w:pStyle w:val="Compact"/>
              <w:jc w:val="left"/>
            </w:pPr>
            <w:r>
              <w:t xml:space="preserve">$2,850.00</w:t>
            </w:r>
          </w:p>
        </w:tc>
        <w:tc>
          <w:tcPr/>
          <w:p>
            <w:pPr>
              <w:pStyle w:val="Compact"/>
              <w:jc w:val="left"/>
            </w:pPr>
            <w:r>
              <w:t xml:space="preserve">$79,800.00</w:t>
            </w:r>
          </w:p>
        </w:tc>
      </w:tr>
      <w:tr>
        <w:tc>
          <w:tcPr/>
          <w:p>
            <w:pPr>
              <w:pStyle w:val="Compact"/>
              <w:jc w:val="left"/>
            </w:pPr>
            <w:r>
              <w:t xml:space="preserve">4</w:t>
            </w:r>
          </w:p>
        </w:tc>
        <w:tc>
          <w:tcPr/>
          <w:p>
            <w:pPr>
              <w:pStyle w:val="Compact"/>
              <w:jc w:val="left"/>
            </w:pPr>
            <w:r>
              <w:t xml:space="preserve">On-site consultation and knowledge transfer sessions. The Mathematician conducted four (4) half-day workshops at the client's headquarters in Mexico Mexico City, training a team of twelve junior analysts in advanced numerical methods, linear algebra applications, and optimization theory relevant to their daily workflows.</w:t>
            </w:r>
          </w:p>
        </w:tc>
        <w:tc>
          <w:tcPr/>
          <w:p>
            <w:pPr>
              <w:pStyle w:val="Compact"/>
              <w:jc w:val="left"/>
            </w:pPr>
            <w:r>
              <w:t xml:space="preserve">16</w:t>
            </w:r>
          </w:p>
        </w:tc>
        <w:tc>
          <w:tcPr/>
          <w:p>
            <w:pPr>
              <w:pStyle w:val="Compact"/>
              <w:jc w:val="left"/>
            </w:pPr>
            <w:r>
              <w:t xml:space="preserve">$3,200.00</w:t>
            </w:r>
          </w:p>
        </w:tc>
        <w:tc>
          <w:tcPr/>
          <w:p>
            <w:pPr>
              <w:pStyle w:val="Compact"/>
              <w:jc w:val="left"/>
            </w:pPr>
            <w:r>
              <w:t xml:space="preserve">$51,200.00</w:t>
            </w:r>
          </w:p>
        </w:tc>
      </w:tr>
      <w:tr>
        <w:tc>
          <w:tcPr/>
          <w:p>
            <w:pPr>
              <w:pStyle w:val="Compact"/>
              <w:jc w:val="left"/>
            </w:pPr>
            <w:r>
              <w:t xml:space="preserve">5</w:t>
            </w:r>
          </w:p>
        </w:tc>
        <w:tc>
          <w:tcPr/>
          <w:p>
            <w:pPr>
              <w:pStyle w:val="Compact"/>
              <w:jc w:val="left"/>
            </w:pPr>
            <w:r>
              <w:t xml:space="preserve">Mathematical proof verification and peer review of the client's proprietary algorithm for algorithmic trading execution. The Mathematician identified three logical inconsistencies in the original proof, provided corrected derivations, and certified the final version for regulatory submission to the Comisión Nacional Bancaria y de Valores (CNBV) in Mexico Mexico City.</w:t>
            </w:r>
          </w:p>
        </w:tc>
        <w:tc>
          <w:tcPr/>
          <w:p>
            <w:pPr>
              <w:pStyle w:val="Compact"/>
              <w:jc w:val="left"/>
            </w:pPr>
            <w:r>
              <w:t xml:space="preserve">20</w:t>
            </w:r>
          </w:p>
        </w:tc>
        <w:tc>
          <w:tcPr/>
          <w:p>
            <w:pPr>
              <w:pStyle w:val="Compact"/>
              <w:jc w:val="left"/>
            </w:pPr>
            <w:r>
              <w:t xml:space="preserve">$2,850.00</w:t>
            </w:r>
          </w:p>
        </w:tc>
        <w:tc>
          <w:tcPr/>
          <w:p>
            <w:pPr>
              <w:pStyle w:val="Compact"/>
              <w:jc w:val="left"/>
            </w:pPr>
            <w:r>
              <w:t xml:space="preserve">$57,000.00</w:t>
            </w:r>
          </w:p>
        </w:tc>
      </w:tr>
      <w:tr>
        <w:tc>
          <w:tcPr/>
          <w:p>
            <w:pPr>
              <w:pStyle w:val="Compact"/>
              <w:jc w:val="left"/>
            </w:pPr>
            <w:r>
              <w:t xml:space="preserve">6</w:t>
            </w:r>
          </w:p>
        </w:tc>
        <w:tc>
          <w:tcPr/>
          <w:p>
            <w:pPr>
              <w:pStyle w:val="Compact"/>
              <w:jc w:val="left"/>
            </w:pPr>
            <w:r>
              <w:t xml:space="preserve">Development of a graph-theoretic network model for interbank transaction monitoring. The Mathematician constructed a weighted directed graph representing 87 banking institutions operating in Mexico Mexico City, identifying critical nodes and potential systemic risk propagation pathways.</w:t>
            </w:r>
          </w:p>
        </w:tc>
        <w:tc>
          <w:tcPr/>
          <w:p>
            <w:pPr>
              <w:pStyle w:val="Compact"/>
              <w:jc w:val="left"/>
            </w:pPr>
            <w:r>
              <w:t xml:space="preserve">24</w:t>
            </w:r>
          </w:p>
        </w:tc>
        <w:tc>
          <w:tcPr/>
          <w:p>
            <w:pPr>
              <w:pStyle w:val="Compact"/>
              <w:jc w:val="left"/>
            </w:pPr>
            <w:r>
              <w:t xml:space="preserve">$2,850.00</w:t>
            </w:r>
          </w:p>
        </w:tc>
        <w:tc>
          <w:tcPr/>
          <w:p>
            <w:pPr>
              <w:pStyle w:val="Compact"/>
              <w:jc w:val="left"/>
            </w:pPr>
            <w:r>
              <w:t xml:space="preserve">$68,400.00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$478,700.00</w:t>
            </w:r>
          </w:p>
        </w:tc>
      </w:tr>
      <w:tr>
        <w:tc>
          <w:tcPr/>
          <w:p>
            <w:pPr>
              <w:pStyle w:val="Compact"/>
              <w:jc w:val="left"/>
            </w:pPr>
            <w:r>
              <w:t xml:space="preserve">IVA (16% VAT - Mexico)</w:t>
            </w:r>
          </w:p>
        </w:tc>
        <w:tc>
          <w:tcPr/>
          <w:p>
            <w:pPr>
              <w:pStyle w:val="Compact"/>
              <w:jc w:val="left"/>
            </w:pPr>
            <w:r>
              <w:t xml:space="preserve">$76,592.00</w:t>
            </w:r>
          </w:p>
        </w:tc>
      </w:tr>
      <w:tr>
        <w:tc>
          <w:tcPr/>
          <w:p>
            <w:pPr>
              <w:pStyle w:val="Compact"/>
              <w:jc w:val="left"/>
            </w:pPr>
            <w:r>
              <w:t xml:space="preserve">Retención ISR (10%)</w:t>
            </w:r>
          </w:p>
        </w:tc>
        <w:tc>
          <w:tcPr/>
          <w:p>
            <w:pPr>
              <w:pStyle w:val="Compact"/>
              <w:jc w:val="left"/>
            </w:pPr>
            <w:r>
              <w:t xml:space="preserve">($47,870.00)</w:t>
            </w:r>
          </w:p>
        </w:tc>
      </w:tr>
      <w:tr>
        <w:tc>
          <w:tcPr/>
          <w:p>
            <w:pPr>
              <w:pStyle w:val="Compact"/>
              <w:jc w:val="left"/>
            </w:pPr>
            <w:r>
              <w:t xml:space="preserve">Net Amount Due</w:t>
            </w:r>
          </w:p>
        </w:tc>
        <w:tc>
          <w:tcPr/>
          <w:p>
            <w:pPr>
              <w:pStyle w:val="Compact"/>
              <w:jc w:val="left"/>
            </w:pPr>
            <w:r>
              <w:t xml:space="preserve">$507,422.00</w:t>
            </w:r>
          </w:p>
        </w:tc>
      </w:tr>
    </w:tbl>
    <w:bookmarkStart w:id="24" w:name="payment-terms-conditions"/>
    <w:p>
      <w:pPr>
        <w:pStyle w:val="Heading3"/>
      </w:pPr>
      <w:r>
        <w:t xml:space="preserve">Payment Terms &amp; Conditions</w:t>
      </w:r>
    </w:p>
    <w:p>
      <w:pPr>
        <w:pStyle w:val="FirstParagraph"/>
      </w:pPr>
      <w:r>
        <w:t xml:space="preserve">This Invoice is payable within thirty (30) calendar days from the issue date, no later than July 15, 2025. Payment shall be made via electronic bank transfer (SPEI) to the account designated below. Late payments shall accrue interest at the rate established by the Banco de México (Banxico) for overdue commercial obligations in Mexico Mexico City.</w:t>
      </w:r>
    </w:p>
    <w:p>
      <w:pPr>
        <w:pStyle w:val="BodyText"/>
      </w:pPr>
      <w:r>
        <w:rPr>
          <w:bCs/>
          <w:b/>
        </w:rPr>
        <w:t xml:space="preserve">Bank:</w:t>
      </w:r>
      <w:r>
        <w:t xml:space="preserve"> </w:t>
      </w:r>
      <w:r>
        <w:t xml:space="preserve">BBVA México, S.A.</w:t>
      </w:r>
    </w:p>
    <w:p>
      <w:pPr>
        <w:pStyle w:val="BodyText"/>
      </w:pPr>
      <w:r>
        <w:rPr>
          <w:bCs/>
          <w:b/>
        </w:rPr>
        <w:t xml:space="preserve">CLABE:</w:t>
      </w:r>
      <w:r>
        <w:t xml:space="preserve"> </w:t>
      </w:r>
      <w:r>
        <w:t xml:space="preserve">012180004567890123</w:t>
      </w:r>
    </w:p>
    <w:p>
      <w:pPr>
        <w:pStyle w:val="BodyText"/>
      </w:pPr>
      <w:r>
        <w:rPr>
          <w:bCs/>
          <w:b/>
        </w:rPr>
        <w:t xml:space="preserve">Account Name:</w:t>
      </w:r>
      <w:r>
        <w:t xml:space="preserve"> </w:t>
      </w:r>
      <w:r>
        <w:t xml:space="preserve">Apex Mathematical Consulting Group</w:t>
      </w:r>
    </w:p>
    <w:p>
      <w:pPr>
        <w:pStyle w:val="BodyText"/>
      </w:pPr>
      <w:r>
        <w:rPr>
          <w:bCs/>
          <w:b/>
        </w:rPr>
        <w:t xml:space="preserve">SWIFT:</w:t>
      </w:r>
      <w:r>
        <w:t xml:space="preserve"> </w:t>
      </w:r>
      <w:r>
        <w:t xml:space="preserve">BBVAMXM1</w:t>
      </w:r>
    </w:p>
    <w:p>
      <w:pPr>
        <w:pStyle w:val="BodyText"/>
      </w:pPr>
      <w:r>
        <w:t xml:space="preserve">All services rendered by the Mathematician are subject to the Master Service Agreement dated March 1, 2025, executed in Mexico Mexico City. This Invoice constitutes a formal request for payment under that agreement. The Mathematician retains all intellectual property rights over mathematical proofs, algorithms, and methodologies developed during the engagement unless otherwise specified in writing.</w:t>
      </w:r>
    </w:p>
    <w:bookmarkEnd w:id="24"/>
    <w:bookmarkStart w:id="25" w:name="important-notes"/>
    <w:p>
      <w:pPr>
        <w:pStyle w:val="Heading3"/>
      </w:pPr>
      <w:r>
        <w:t xml:space="preserve">Important Notes</w:t>
      </w:r>
    </w:p>
    <w:p>
      <w:pPr>
        <w:pStyle w:val="FirstParagraph"/>
      </w:pPr>
      <w:r>
        <w:t xml:space="preserve">This Invoice has been prepared in accordance with the Mexican Federal Tax Code (Código Fiscal de la Federación) and the regulations of the Servicio de Administración Tributaria (SAT). The Mathematician services described herein were performed entirely within the jurisdiction of Mexico Mexico City, and all applicable local and federal tax obligations have been accounted for in the amounts listed above.</w:t>
      </w:r>
    </w:p>
    <w:p>
      <w:pPr>
        <w:pStyle w:val="BodyText"/>
      </w:pPr>
      <w:r>
        <w:t xml:space="preserve">The client is advised to retain this Invoice document for a minimum of five (5) years as required by Mexican commercial law. In the event of any discrepancy regarding the services rendered by the Mathematician or the amounts stated on this Invoice, the client must submit a written notice to the billing department within fifteen (15) business days of receipt. Failure to do so shall constitute acceptance of the Invoice terms.</w:t>
      </w:r>
    </w:p>
    <w:p>
      <w:pPr>
        <w:pStyle w:val="BodyText"/>
      </w:pPr>
      <w:r>
        <w:t xml:space="preserve">All mathematical deliverables referenced in this Invoice, including but not limited to simulation code, proof documents, and training materials, have been delivered to the client via secure encrypted transfer on May 30, 2025. Delivery confirmation is on file with the Mathematician's office in Mexico Mexico City.</w:t>
      </w:r>
    </w:p>
    <w:bookmarkEnd w:id="25"/>
    <w:p>
      <w:pPr>
        <w:pStyle w:val="BodyText"/>
      </w:pPr>
      <w:r>
        <w:rPr>
          <w:bCs/>
          <w:b/>
        </w:rPr>
        <w:t xml:space="preserve">Apex Mathematical Consulting Group</w:t>
      </w:r>
      <w:r>
        <w:t xml:space="preserve"> </w:t>
      </w:r>
      <w:r>
        <w:t xml:space="preserve">| Professional Mathematician Services | Mexico Mexico City, Mexico</w:t>
      </w:r>
    </w:p>
    <w:p>
      <w:pPr>
        <w:pStyle w:val="BodyText"/>
      </w:pPr>
      <w:r>
        <w:t xml:space="preserve">Av. Paseo de la Reforma 222, Piso 14, Col. Cuauhtémoc, C.P. 06600, Mexico Mexico City</w:t>
      </w:r>
    </w:p>
    <w:p>
      <w:pPr>
        <w:pStyle w:val="BodyText"/>
      </w:pPr>
      <w:r>
        <w:t xml:space="preserve">RFC: AMC150820XYZ | SAT Registration: Active | Professional Mathematician License: MAT-MX-2019-0042</w:t>
      </w:r>
    </w:p>
    <w:p>
      <w:pPr>
        <w:pStyle w:val="BodyText"/>
      </w:pPr>
      <w:r>
        <w:t xml:space="preserve">This Invoice was generated electronically and is valid without a physical signature per Article 69-B of the Mexican Federal Tax Code.</w:t>
      </w:r>
    </w:p>
    <w:p>
      <w:pPr>
        <w:pStyle w:val="BodyText"/>
      </w:pPr>
      <w:r>
        <w:t xml:space="preserve">Invoice INV-2025-MX-0487 | 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Mexico Mexico City</dc:title>
  <dc:creator/>
  <dc:language>en</dc:language>
  <cp:keywords/>
  <dcterms:created xsi:type="dcterms:W3CDTF">2026-10-10T01:06:28Z</dcterms:created>
  <dcterms:modified xsi:type="dcterms:W3CDTF">2026-10-10T01:06:28Z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