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Netherlands</w:t>
      </w:r>
      <w:r>
        <w:t xml:space="preserve"> </w:t>
      </w:r>
      <w:r>
        <w:t xml:space="preserve">Amsterdam</w:t>
      </w:r>
    </w:p>
    <w:p>
      <w:pPr>
        <w:pStyle w:val="FirstParagraph"/>
      </w:pPr>
      <w:r>
        <w:t xml:space="preserve">INVOICE</w:t>
      </w:r>
    </w:p>
    <w:p>
      <w:pPr>
        <w:pStyle w:val="BodyText"/>
      </w:pPr>
      <w:r>
        <w:t xml:space="preserve">Invoice No: NL-AMS-MATH-2025-0472</w:t>
      </w:r>
    </w:p>
    <w:p>
      <w:pPr>
        <w:pStyle w:val="BodyText"/>
      </w:pPr>
      <w:r>
        <w:t xml:space="preserve">Date of Issue: 15 June 2025</w:t>
      </w:r>
    </w:p>
    <w:p>
      <w:pPr>
        <w:pStyle w:val="BodyText"/>
      </w:pPr>
      <w:r>
        <w:t xml:space="preserve">Due Date: 15 July 2025</w:t>
      </w:r>
    </w:p>
    <w:p>
      <w:pPr>
        <w:pStyle w:val="BodyText"/>
      </w:pPr>
      <w:r>
        <w:t xml:space="preserve">PENDING PAYMENT</w:t>
      </w:r>
    </w:p>
    <w:bookmarkStart w:id="20" w:name="issued-by-mathematician"/>
    <w:p>
      <w:pPr>
        <w:pStyle w:val="Heading3"/>
      </w:pPr>
      <w:r>
        <w:t xml:space="preserve">Issued By (Mathematician)</w:t>
      </w:r>
    </w:p>
    <w:p>
      <w:pPr>
        <w:pStyle w:val="FirstParagraph"/>
      </w:pPr>
      <w:r>
        <w:rPr>
          <w:bCs/>
          <w:b/>
        </w:rPr>
        <w:t xml:space="preserve">Dr. Hendrik van der Berg, PhD</w:t>
      </w:r>
    </w:p>
    <w:p>
      <w:pPr>
        <w:pStyle w:val="BodyText"/>
      </w:pPr>
      <w:r>
        <w:t xml:space="preserve">Independent Mathematician &amp; Research Consultant</w:t>
      </w:r>
    </w:p>
    <w:p>
      <w:pPr>
        <w:pStyle w:val="BodyText"/>
      </w:pPr>
      <w:r>
        <w:t xml:space="preserve">Keizersgracht 247, 1016 CW</w:t>
      </w:r>
    </w:p>
    <w:p>
      <w:pPr>
        <w:pStyle w:val="BodyText"/>
      </w:pPr>
      <w:r>
        <w:t xml:space="preserve">Amsterdam, Netherlands</w:t>
      </w:r>
    </w:p>
    <w:p>
      <w:pPr>
        <w:pStyle w:val="BodyText"/>
      </w:pPr>
      <w:r>
        <w:t xml:space="preserve">KvK: 87654321 | BTW: NL867543212B01</w:t>
      </w:r>
    </w:p>
    <w:p>
      <w:pPr>
        <w:pStyle w:val="BodyText"/>
      </w:pPr>
      <w:r>
        <w:t xml:space="preserve">Email: h.vanderberg@mathconsult.nl</w:t>
      </w:r>
    </w:p>
    <w:p>
      <w:pPr>
        <w:pStyle w:val="BodyText"/>
      </w:pPr>
      <w:r>
        <w:t xml:space="preserve">Phone: +31 20 555 0142</w:t>
      </w:r>
    </w:p>
    <w:bookmarkEnd w:id="20"/>
    <w:bookmarkStart w:id="21" w:name="bill-to-client"/>
    <w:p>
      <w:pPr>
        <w:pStyle w:val="Heading3"/>
      </w:pPr>
      <w:r>
        <w:t xml:space="preserve">Bill To (Client)</w:t>
      </w:r>
    </w:p>
    <w:p>
      <w:pPr>
        <w:pStyle w:val="FirstParagraph"/>
      </w:pPr>
      <w:r>
        <w:rPr>
          <w:bCs/>
          <w:b/>
        </w:rPr>
        <w:t xml:space="preserve">Amsterdam Quantum Computing B.V.</w:t>
      </w:r>
    </w:p>
    <w:p>
      <w:pPr>
        <w:pStyle w:val="BodyText"/>
      </w:pPr>
      <w:r>
        <w:t xml:space="preserve">Attn: Dr. Sarah de Vries, Chief Technology Officer</w:t>
      </w:r>
    </w:p>
    <w:p>
      <w:pPr>
        <w:pStyle w:val="BodyText"/>
      </w:pPr>
      <w:r>
        <w:t xml:space="preserve">Herengracht 450, 1017 CA</w:t>
      </w:r>
    </w:p>
    <w:p>
      <w:pPr>
        <w:pStyle w:val="BodyText"/>
      </w:pPr>
      <w:r>
        <w:t xml:space="preserve">Amsterdam, Netherlands</w:t>
      </w:r>
    </w:p>
    <w:p>
      <w:pPr>
        <w:pStyle w:val="BodyText"/>
      </w:pPr>
      <w:r>
        <w:t xml:space="preserve">KvK: 76543210 | BTW: NL856432101B01</w:t>
      </w:r>
    </w:p>
    <w:bookmarkEnd w:id="21"/>
    <w:bookmarkStart w:id="22" w:name="invoice-reference-details"/>
    <w:p>
      <w:pPr>
        <w:pStyle w:val="Heading3"/>
      </w:pPr>
      <w:r>
        <w:t xml:space="preserve">Invoice Reference Details</w:t>
      </w:r>
    </w:p>
    <w:p>
      <w:pPr>
        <w:pStyle w:val="FirstParagraph"/>
      </w:pPr>
      <w:r>
        <w:rPr>
          <w:bCs/>
          <w:b/>
        </w:rPr>
        <w:t xml:space="preserve">Project:</w:t>
      </w:r>
      <w:r>
        <w:t xml:space="preserve"> </w:t>
      </w:r>
      <w:r>
        <w:t xml:space="preserve">Advanced Topological Optimization for Quantum Circuit Design</w:t>
      </w:r>
    </w:p>
    <w:p>
      <w:pPr>
        <w:pStyle w:val="BodyText"/>
      </w:pPr>
      <w:r>
        <w:rPr>
          <w:bCs/>
          <w:b/>
        </w:rPr>
        <w:t xml:space="preserve">Contract Ref:</w:t>
      </w:r>
      <w:r>
        <w:t xml:space="preserve"> </w:t>
      </w:r>
      <w:r>
        <w:t xml:space="preserve">AQC-MATH-2025-019</w:t>
      </w:r>
    </w:p>
    <w:p>
      <w:pPr>
        <w:pStyle w:val="BodyText"/>
      </w:pPr>
      <w:r>
        <w:rPr>
          <w:bCs/>
          <w:b/>
        </w:rPr>
        <w:t xml:space="preserve">Period Covered:</w:t>
      </w:r>
      <w:r>
        <w:t xml:space="preserve"> </w:t>
      </w:r>
      <w:r>
        <w:t xml:space="preserve">1 March 2025 – 31 May 2025</w:t>
      </w:r>
    </w:p>
    <w:p>
      <w:pPr>
        <w:pStyle w:val="BodyText"/>
      </w:pPr>
      <w:r>
        <w:rPr>
          <w:bCs/>
          <w:b/>
        </w:rPr>
        <w:t xml:space="preserve">Payment Method:</w:t>
      </w:r>
      <w:r>
        <w:t xml:space="preserve"> </w:t>
      </w:r>
      <w:r>
        <w:t xml:space="preserve">Bank Transfer (IBAN: NL91 ABNA 0417 1643 00)</w:t>
      </w:r>
    </w:p>
    <w:p>
      <w:pPr>
        <w:pStyle w:val="BodyText"/>
      </w:pPr>
      <w:r>
        <w:rPr>
          <w:bCs/>
          <w:b/>
        </w:rPr>
        <w:t xml:space="preserve">Reference:</w:t>
      </w:r>
      <w:r>
        <w:t xml:space="preserve"> </w:t>
      </w:r>
      <w:r>
        <w:t xml:space="preserve">INV-NL-AMS-MATH-2025-0472</w:t>
      </w:r>
    </w:p>
    <w:bookmarkEnd w:id="22"/>
    <w:bookmarkStart w:id="24" w:name="X68b600e2a4e1d863f0bf8a6f9029bc3e14ca32c"/>
    <w:p>
      <w:pPr>
        <w:pStyle w:val="Heading2"/>
      </w:pPr>
      <w:r>
        <w:t xml:space="preserve">Description of Services Rendered by the Mathematician</w:t>
      </w:r>
    </w:p>
    <w:p>
      <w:pPr>
        <w:pStyle w:val="FirstParagraph"/>
      </w:pPr>
      <w:r>
        <w:t xml:space="preserve">The following Invoice details the professional mathematical consulting, research, and analytical services provided by the undersigned Mathematician to the client in Amsterdam, Netherlands, during the billing period specified above. All work was performed in accordance with the terms outlined in the master service agreement dated 28 February 2025.</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Hours / Units</w:t>
            </w:r>
          </w:p>
        </w:tc>
        <w:tc>
          <w:tcPr/>
          <w:p>
            <w:pPr>
              <w:pStyle w:val="Compact"/>
              <w:jc w:val="left"/>
            </w:pPr>
            <w:r>
              <w:t xml:space="preserve">Rate (EUR)</w:t>
            </w:r>
          </w:p>
        </w:tc>
        <w:tc>
          <w:tcPr/>
          <w:p>
            <w:pPr>
              <w:pStyle w:val="Compact"/>
              <w:jc w:val="left"/>
            </w:pPr>
            <w:r>
              <w:t xml:space="preserve">Amount (EUR)</w:t>
            </w:r>
          </w:p>
        </w:tc>
        <w:tc>
          <w:tcPr/>
          <w:p>
            <w:pPr>
              <w:pStyle w:val="Compact"/>
              <w:jc w:val="left"/>
            </w:pPr>
            <w:r>
              <w:t xml:space="preserve">BTW (VAT)</w:t>
            </w:r>
          </w:p>
        </w:tc>
      </w:tr>
      <w:tr>
        <w:tc>
          <w:tcPr/>
          <w:p>
            <w:pPr>
              <w:pStyle w:val="Compact"/>
              <w:jc w:val="left"/>
            </w:pPr>
            <w:r>
              <w:t xml:space="preserve">1</w:t>
            </w:r>
          </w:p>
        </w:tc>
        <w:tc>
          <w:tcPr/>
          <w:p>
            <w:pPr>
              <w:pStyle w:val="Compact"/>
              <w:jc w:val="left"/>
            </w:pPr>
            <w:r>
              <w:rPr>
                <w:bCs/>
                <w:b/>
              </w:rPr>
              <w:t xml:space="preserve">Topological Optimization Modeling</w:t>
            </w:r>
          </w:p>
          <w:p>
            <w:pPr>
              <w:pStyle w:val="Compact"/>
              <w:jc w:val="left"/>
            </w:pPr>
            <w:r>
              <w:t xml:space="preserve">Development and implementation of advanced topological optimization frameworks for quantum circuit architecture. The Mathematician designed novel algorithms leveraging algebraic topology to minimize gate depth and error propagation in superconducting qubit arrays. This included the formulation of persistent homology-based error correction schemes and the derivation of convergence theorems for iterative optimization procedures.</w:t>
            </w:r>
          </w:p>
        </w:tc>
        <w:tc>
          <w:tcPr/>
          <w:p>
            <w:pPr>
              <w:pStyle w:val="Compact"/>
              <w:jc w:val="left"/>
            </w:pPr>
            <w:r>
              <w:t xml:space="preserve">120 hrs</w:t>
            </w:r>
          </w:p>
        </w:tc>
        <w:tc>
          <w:tcPr/>
          <w:p>
            <w:pPr>
              <w:pStyle w:val="Compact"/>
              <w:jc w:val="left"/>
            </w:pPr>
            <w:r>
              <w:t xml:space="preserve">€145.00</w:t>
            </w:r>
          </w:p>
        </w:tc>
        <w:tc>
          <w:tcPr/>
          <w:p>
            <w:pPr>
              <w:pStyle w:val="Compact"/>
              <w:jc w:val="left"/>
            </w:pPr>
            <w:r>
              <w:t xml:space="preserve">€17,400.00</w:t>
            </w:r>
          </w:p>
        </w:tc>
        <w:tc>
          <w:tcPr/>
          <w:p>
            <w:pPr>
              <w:pStyle w:val="Compact"/>
              <w:jc w:val="left"/>
            </w:pPr>
            <w:r>
              <w:t xml:space="preserve">21% (€3,654.00)</w:t>
            </w:r>
          </w:p>
        </w:tc>
      </w:tr>
      <w:tr>
        <w:tc>
          <w:tcPr/>
          <w:p>
            <w:pPr>
              <w:pStyle w:val="Compact"/>
              <w:jc w:val="left"/>
            </w:pPr>
            <w:r>
              <w:t xml:space="preserve">2</w:t>
            </w:r>
          </w:p>
        </w:tc>
        <w:tc>
          <w:tcPr/>
          <w:p>
            <w:pPr>
              <w:pStyle w:val="Compact"/>
              <w:jc w:val="left"/>
            </w:pPr>
            <w:r>
              <w:rPr>
                <w:bCs/>
                <w:b/>
              </w:rPr>
              <w:t xml:space="preserve">Stochastic Differential Equation Analysis</w:t>
            </w:r>
          </w:p>
          <w:p>
            <w:pPr>
              <w:pStyle w:val="Compact"/>
              <w:jc w:val="left"/>
            </w:pPr>
            <w:r>
              <w:t xml:space="preserve">Rigorous mathematical analysis of stochastic differential equations governing quantum decoherence processes. The Mathematician provided closed-form solutions for Ornstein-Uhlenbeck processes under non-stationary noise conditions, derived Fokker-Planck equation solutions for multi-dimensional state spaces, and established bounds on transition probability densities. All derivations were peer-reviewed internally before delivery.</w:t>
            </w:r>
          </w:p>
        </w:tc>
        <w:tc>
          <w:tcPr/>
          <w:p>
            <w:pPr>
              <w:pStyle w:val="Compact"/>
              <w:jc w:val="left"/>
            </w:pPr>
            <w:r>
              <w:t xml:space="preserve">80 hrs</w:t>
            </w:r>
          </w:p>
        </w:tc>
        <w:tc>
          <w:tcPr/>
          <w:p>
            <w:pPr>
              <w:pStyle w:val="Compact"/>
              <w:jc w:val="left"/>
            </w:pPr>
            <w:r>
              <w:t xml:space="preserve">€145.00</w:t>
            </w:r>
          </w:p>
        </w:tc>
        <w:tc>
          <w:tcPr/>
          <w:p>
            <w:pPr>
              <w:pStyle w:val="Compact"/>
              <w:jc w:val="left"/>
            </w:pPr>
            <w:r>
              <w:t xml:space="preserve">€11,600.00</w:t>
            </w:r>
          </w:p>
        </w:tc>
        <w:tc>
          <w:tcPr/>
          <w:p>
            <w:pPr>
              <w:pStyle w:val="Compact"/>
              <w:jc w:val="left"/>
            </w:pPr>
            <w:r>
              <w:t xml:space="preserve">21% (€2,436.00)</w:t>
            </w:r>
          </w:p>
        </w:tc>
      </w:tr>
      <w:tr>
        <w:tc>
          <w:tcPr/>
          <w:p>
            <w:pPr>
              <w:pStyle w:val="Compact"/>
              <w:jc w:val="left"/>
            </w:pPr>
            <w:r>
              <w:t xml:space="preserve">3</w:t>
            </w:r>
          </w:p>
        </w:tc>
        <w:tc>
          <w:tcPr/>
          <w:p>
            <w:pPr>
              <w:pStyle w:val="Compact"/>
              <w:jc w:val="left"/>
            </w:pPr>
            <w:r>
              <w:rPr>
                <w:bCs/>
                <w:b/>
              </w:rPr>
              <w:t xml:space="preserve">Graph Theory &amp; Network Analysis Consulting</w:t>
            </w:r>
          </w:p>
          <w:p>
            <w:pPr>
              <w:pStyle w:val="Compact"/>
              <w:jc w:val="left"/>
            </w:pPr>
            <w:r>
              <w:t xml:space="preserve">Application of spectral graph theory and combinatorial optimization to model interconnect topologies for the Amsterdam quantum computing facility. The Mathematician identified minimum spanning subgraphs, computed eigenvalue distributions for adjacency matrices, and proposed novel routing protocols based on expander graph constructions. Delivered as a 45-page technical report with full proofs.</w:t>
            </w:r>
          </w:p>
        </w:tc>
        <w:tc>
          <w:tcPr/>
          <w:p>
            <w:pPr>
              <w:pStyle w:val="Compact"/>
              <w:jc w:val="left"/>
            </w:pPr>
            <w:r>
              <w:t xml:space="preserve">60 hrs</w:t>
            </w:r>
          </w:p>
        </w:tc>
        <w:tc>
          <w:tcPr/>
          <w:p>
            <w:pPr>
              <w:pStyle w:val="Compact"/>
              <w:jc w:val="left"/>
            </w:pPr>
            <w:r>
              <w:t xml:space="preserve">€145.00</w:t>
            </w:r>
          </w:p>
        </w:tc>
        <w:tc>
          <w:tcPr/>
          <w:p>
            <w:pPr>
              <w:pStyle w:val="Compact"/>
              <w:jc w:val="left"/>
            </w:pPr>
            <w:r>
              <w:t xml:space="preserve">€8,700.00</w:t>
            </w:r>
          </w:p>
        </w:tc>
        <w:tc>
          <w:tcPr/>
          <w:p>
            <w:pPr>
              <w:pStyle w:val="Compact"/>
              <w:jc w:val="left"/>
            </w:pPr>
            <w:r>
              <w:t xml:space="preserve">21% (€1,827.00)</w:t>
            </w:r>
          </w:p>
        </w:tc>
      </w:tr>
      <w:tr>
        <w:tc>
          <w:tcPr/>
          <w:p>
            <w:pPr>
              <w:pStyle w:val="Compact"/>
              <w:jc w:val="left"/>
            </w:pPr>
            <w:r>
              <w:t xml:space="preserve">4</w:t>
            </w:r>
          </w:p>
        </w:tc>
        <w:tc>
          <w:tcPr/>
          <w:p>
            <w:pPr>
              <w:pStyle w:val="Compact"/>
              <w:jc w:val="left"/>
            </w:pPr>
            <w:r>
              <w:rPr>
                <w:bCs/>
                <w:b/>
              </w:rPr>
              <w:t xml:space="preserve">Academic Paper Co-Authorship &amp; Review</w:t>
            </w:r>
          </w:p>
          <w:p>
            <w:pPr>
              <w:pStyle w:val="Compact"/>
              <w:jc w:val="left"/>
            </w:pPr>
            <w:r>
              <w:t xml:space="preserve">Collaborative authorship of two journal articles for submission to Physical Review Letters and IEEE Transactions on Quantum Engineering. The Mathematician contributed the complete mathematical formalism, theorem statements, proof structures, and numerical verification sections. Additionally, the Mathematician conducted a detailed mathematical review of three external manuscripts as part of the client's research integrity program.</w:t>
            </w:r>
          </w:p>
        </w:tc>
        <w:tc>
          <w:tcPr/>
          <w:p>
            <w:pPr>
              <w:pStyle w:val="Compact"/>
              <w:jc w:val="left"/>
            </w:pPr>
            <w:r>
              <w:t xml:space="preserve">40 hrs</w:t>
            </w:r>
          </w:p>
        </w:tc>
        <w:tc>
          <w:tcPr/>
          <w:p>
            <w:pPr>
              <w:pStyle w:val="Compact"/>
              <w:jc w:val="left"/>
            </w:pPr>
            <w:r>
              <w:t xml:space="preserve">€160.00</w:t>
            </w:r>
          </w:p>
        </w:tc>
        <w:tc>
          <w:tcPr/>
          <w:p>
            <w:pPr>
              <w:pStyle w:val="Compact"/>
              <w:jc w:val="left"/>
            </w:pPr>
            <w:r>
              <w:t xml:space="preserve">€6,400.00</w:t>
            </w:r>
          </w:p>
        </w:tc>
        <w:tc>
          <w:tcPr/>
          <w:p>
            <w:pPr>
              <w:pStyle w:val="Compact"/>
              <w:jc w:val="left"/>
            </w:pPr>
            <w:r>
              <w:t xml:space="preserve">21% (€1,344.00)</w:t>
            </w:r>
          </w:p>
        </w:tc>
      </w:tr>
      <w:tr>
        <w:tc>
          <w:tcPr/>
          <w:p>
            <w:pPr>
              <w:pStyle w:val="Compact"/>
              <w:jc w:val="left"/>
            </w:pPr>
            <w:r>
              <w:t xml:space="preserve">5</w:t>
            </w:r>
          </w:p>
        </w:tc>
        <w:tc>
          <w:tcPr/>
          <w:p>
            <w:pPr>
              <w:pStyle w:val="Compact"/>
              <w:jc w:val="left"/>
            </w:pPr>
            <w:r>
              <w:rPr>
                <w:bCs/>
                <w:b/>
              </w:rPr>
              <w:t xml:space="preserve">On-Site Technical Workshops in Amsterdam</w:t>
            </w:r>
          </w:p>
          <w:p>
            <w:pPr>
              <w:pStyle w:val="Compact"/>
              <w:jc w:val="left"/>
            </w:pPr>
            <w:r>
              <w:t xml:space="preserve">Three half-day workshops conducted at the client's office on Herengracht 450, Amsterdam, Netherlands. Topics included: (a) Introduction to Category Theory for Quantum Information Scientists, (b) Numerical Methods for Partial Differential Equations in Quantum Simulation, and (c) Advanced Linear Algebra Techniques for Matrix Product States. Each session included prepared lecture materials, worked examples, and a Q&amp;A period. Total of 12 participants per session.</w:t>
            </w:r>
          </w:p>
        </w:tc>
        <w:tc>
          <w:tcPr/>
          <w:p>
            <w:pPr>
              <w:pStyle w:val="Compact"/>
              <w:jc w:val="left"/>
            </w:pPr>
            <w:r>
              <w:t xml:space="preserve">3 sessions</w:t>
            </w:r>
          </w:p>
        </w:tc>
        <w:tc>
          <w:tcPr/>
          <w:p>
            <w:pPr>
              <w:pStyle w:val="Compact"/>
              <w:jc w:val="left"/>
            </w:pPr>
            <w:r>
              <w:t xml:space="preserve">€1,200.00</w:t>
            </w:r>
          </w:p>
        </w:tc>
        <w:tc>
          <w:tcPr/>
          <w:p>
            <w:pPr>
              <w:pStyle w:val="Compact"/>
              <w:jc w:val="left"/>
            </w:pPr>
            <w:r>
              <w:t xml:space="preserve">€3,600.00</w:t>
            </w:r>
          </w:p>
        </w:tc>
        <w:tc>
          <w:tcPr/>
          <w:p>
            <w:pPr>
              <w:pStyle w:val="Compact"/>
              <w:jc w:val="left"/>
            </w:pPr>
            <w:r>
              <w:t xml:space="preserve">21% (€756.00)</w:t>
            </w:r>
          </w:p>
        </w:tc>
      </w:tr>
      <w:tr>
        <w:tc>
          <w:tcPr/>
          <w:p>
            <w:pPr>
              <w:pStyle w:val="Compact"/>
              <w:jc w:val="left"/>
            </w:pPr>
            <w:r>
              <w:t xml:space="preserve">6</w:t>
            </w:r>
          </w:p>
        </w:tc>
        <w:tc>
          <w:tcPr/>
          <w:p>
            <w:pPr>
              <w:pStyle w:val="Compact"/>
              <w:jc w:val="left"/>
            </w:pPr>
            <w:r>
              <w:rPr>
                <w:bCs/>
                <w:b/>
              </w:rPr>
              <w:t xml:space="preserve">Mathematical Software Verification &amp; Validation</w:t>
            </w:r>
          </w:p>
          <w:p>
            <w:pPr>
              <w:pStyle w:val="Compact"/>
              <w:jc w:val="left"/>
            </w:pPr>
            <w:r>
              <w:t xml:space="preserve">Formal verification of the client's proprietary quantum simulation software using model checking and symbolic computation techniques. The Mathematician identified three critical edge-case failures in the numerical integration module, provided corrected mathematical formulations, and authored a comprehensive validation report with 200+ test cases. All work performed remotely with two in-person review meetings in Amsterdam.</w:t>
            </w:r>
          </w:p>
        </w:tc>
        <w:tc>
          <w:tcPr/>
          <w:p>
            <w:pPr>
              <w:pStyle w:val="Compact"/>
              <w:jc w:val="left"/>
            </w:pPr>
            <w:r>
              <w:t xml:space="preserve">50 hrs</w:t>
            </w:r>
          </w:p>
        </w:tc>
        <w:tc>
          <w:tcPr/>
          <w:p>
            <w:pPr>
              <w:pStyle w:val="Compact"/>
              <w:jc w:val="left"/>
            </w:pPr>
            <w:r>
              <w:t xml:space="preserve">€145.00</w:t>
            </w:r>
          </w:p>
        </w:tc>
        <w:tc>
          <w:tcPr/>
          <w:p>
            <w:pPr>
              <w:pStyle w:val="Compact"/>
              <w:jc w:val="left"/>
            </w:pPr>
            <w:r>
              <w:t xml:space="preserve">€7,250.00</w:t>
            </w:r>
          </w:p>
        </w:tc>
        <w:tc>
          <w:tcPr/>
          <w:p>
            <w:pPr>
              <w:pStyle w:val="Compact"/>
              <w:jc w:val="left"/>
            </w:pPr>
            <w:r>
              <w:t xml:space="preserve">21% (€1,522.50)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BTW)</w:t>
            </w:r>
          </w:p>
        </w:tc>
        <w:tc>
          <w:tcPr/>
          <w:p>
            <w:pPr>
              <w:pStyle w:val="Compact"/>
              <w:jc w:val="right"/>
            </w:pPr>
            <w:r>
              <w:t xml:space="preserve">€54,950.00</w:t>
            </w:r>
          </w:p>
        </w:tc>
      </w:tr>
      <w:tr>
        <w:tc>
          <w:tcPr/>
          <w:p>
            <w:pPr>
              <w:pStyle w:val="Compact"/>
              <w:jc w:val="left"/>
            </w:pPr>
            <w:r>
              <w:t xml:space="preserve">BTW / VAT (21%)</w:t>
            </w:r>
          </w:p>
        </w:tc>
        <w:tc>
          <w:tcPr/>
          <w:p>
            <w:pPr>
              <w:pStyle w:val="Compact"/>
              <w:jc w:val="right"/>
            </w:pPr>
            <w:r>
              <w:t xml:space="preserve">€11,539.50</w:t>
            </w:r>
          </w:p>
        </w:tc>
      </w:tr>
      <w:tr>
        <w:tc>
          <w:tcPr/>
          <w:p>
            <w:pPr>
              <w:pStyle w:val="Compact"/>
              <w:jc w:val="left"/>
            </w:pPr>
            <w:r>
              <w:t xml:space="preserve">Grand Total (Incl. BTW)</w:t>
            </w:r>
          </w:p>
        </w:tc>
        <w:tc>
          <w:tcPr/>
          <w:p>
            <w:pPr>
              <w:pStyle w:val="Compact"/>
              <w:jc w:val="right"/>
            </w:pPr>
            <w:r>
              <w:t xml:space="preserve">€66,489.50</w:t>
            </w:r>
          </w:p>
        </w:tc>
      </w:tr>
    </w:tbl>
    <w:bookmarkStart w:id="23" w:name="important-notes-payment-terms"/>
    <w:p>
      <w:pPr>
        <w:pStyle w:val="Heading3"/>
      </w:pPr>
      <w:r>
        <w:t xml:space="preserve">Important Notes &amp; Payment Terms</w:t>
      </w:r>
    </w:p>
    <w:p>
      <w:pPr>
        <w:pStyle w:val="FirstParagraph"/>
      </w:pPr>
      <w:r>
        <w:rPr>
          <w:bCs/>
          <w:b/>
        </w:rPr>
        <w:t xml:space="preserve">1.</w:t>
      </w:r>
      <w:r>
        <w:t xml:space="preserve"> </w:t>
      </w:r>
      <w:r>
        <w:t xml:space="preserve">This Invoice is issued in accordance with Dutch tax regulations (Belastingdienst) and the applicable 21% BTW (Belasting Toegevoegde Waarde) rate for professional services rendered in the Netherlands. The Mathematician is registered as a self-employed professional (eenmanszaak) in Amsterdam, Netherlands, and is fully compliant with all fiscal obligations.</w:t>
      </w:r>
    </w:p>
    <w:p>
      <w:pPr>
        <w:pStyle w:val="BodyText"/>
      </w:pPr>
      <w:r>
        <w:rPr>
          <w:bCs/>
          <w:b/>
        </w:rPr>
        <w:t xml:space="preserve">2.</w:t>
      </w:r>
      <w:r>
        <w:t xml:space="preserve"> </w:t>
      </w:r>
      <w:r>
        <w:t xml:space="preserve">Payment is due within 30 calendar days of the Invoice date (15 June 2025), making the final due date 15 July 2025. Please ensure the Invoice number NL-AMS-MATH-2025-0472 is included as a reference on your bank transfer to the IBAN specified above.</w:t>
      </w:r>
    </w:p>
    <w:p>
      <w:pPr>
        <w:pStyle w:val="BodyText"/>
      </w:pPr>
      <w:r>
        <w:rPr>
          <w:bCs/>
          <w:b/>
        </w:rPr>
        <w:t xml:space="preserve">3.</w:t>
      </w:r>
      <w:r>
        <w:t xml:space="preserve"> </w:t>
      </w:r>
      <w:r>
        <w:t xml:space="preserve">In the event of late payment, interest at the statutory rate as defined in Article 6:119a of the Dutch Civil Code (Burgerlijk Wetboek) will be applied. Additionally, a late payment fee of 10% (minimum €40) may be charged in accordance with the EU Late Payment Directive (2011/7/EU).</w:t>
      </w:r>
    </w:p>
    <w:p>
      <w:pPr>
        <w:pStyle w:val="BodyText"/>
      </w:pPr>
      <w:r>
        <w:rPr>
          <w:bCs/>
          <w:b/>
        </w:rPr>
        <w:t xml:space="preserve">4.</w:t>
      </w:r>
      <w:r>
        <w:t xml:space="preserve"> </w:t>
      </w:r>
      <w:r>
        <w:t xml:space="preserve">All intellectual property, mathematical proofs, theorems, algorithms, and documentation produced by the Mathematician under this engagement remain the property of the client upon full settlement of this Invoice, as stipulated in Section 7 of the master service agreement.</w:t>
      </w:r>
    </w:p>
    <w:p>
      <w:pPr>
        <w:pStyle w:val="BodyText"/>
      </w:pPr>
      <w:r>
        <w:rPr>
          <w:bCs/>
          <w:b/>
        </w:rPr>
        <w:t xml:space="preserve">5.</w:t>
      </w:r>
      <w:r>
        <w:t xml:space="preserve"> </w:t>
      </w:r>
      <w:r>
        <w:t xml:space="preserve">The Mathematician reserves the right to publish general findings (without proprietary client data) in peer-reviewed academic journals, subject to a 90-day embargo period from the date of this Invoice. Specific publication details will be communicated in writing prior to submission.</w:t>
      </w:r>
    </w:p>
    <w:p>
      <w:pPr>
        <w:pStyle w:val="BodyText"/>
      </w:pPr>
      <w:r>
        <w:rPr>
          <w:bCs/>
          <w:b/>
        </w:rPr>
        <w:t xml:space="preserve">6.</w:t>
      </w:r>
      <w:r>
        <w:t xml:space="preserve"> </w:t>
      </w:r>
      <w:r>
        <w:t xml:space="preserve">For any disputes regarding this Invoice, the parties agree to first attempt resolution through good-faith negotiation. Should this fail, the matter shall be referred to the competent court in Amsterdam, Netherlands, in accordance with Dutch law.</w:t>
      </w:r>
    </w:p>
    <w:p>
      <w:pPr>
        <w:pStyle w:val="BodyText"/>
      </w:pPr>
      <w:r>
        <w:rPr>
          <w:bCs/>
          <w:b/>
        </w:rPr>
        <w:t xml:space="preserve">7.</w:t>
      </w:r>
      <w:r>
        <w:t xml:space="preserve"> </w:t>
      </w:r>
      <w:r>
        <w:t xml:space="preserve">This Invoice constitutes the final and complete statement of services rendered for the period 1 March 2025 through 31 May 2025. No additional charges will be incurred for this billing period. Future services will be invoiced separately on a quarterly basis.</w:t>
      </w:r>
    </w:p>
    <w:bookmarkEnd w:id="23"/>
    <w:p>
      <w:pPr>
        <w:pStyle w:val="BodyText"/>
      </w:pPr>
      <w:r>
        <w:rPr>
          <w:bCs/>
          <w:b/>
        </w:rPr>
        <w:t xml:space="preserve">Dr. Hendrik van der Berg, PhD</w:t>
      </w:r>
      <w:r>
        <w:t xml:space="preserve"> </w:t>
      </w:r>
      <w:r>
        <w:t xml:space="preserve">— Independent Mathematician &amp; Research Consultant</w:t>
      </w:r>
    </w:p>
    <w:p>
      <w:pPr>
        <w:pStyle w:val="BodyText"/>
      </w:pPr>
      <w:r>
        <w:t xml:space="preserve">Keizersgracht 247, 1016 CW Amsterdam, Netherlands | KvK: 87654321 | BTW: NL867543212B01</w:t>
      </w:r>
    </w:p>
    <w:p>
      <w:pPr>
        <w:pStyle w:val="BodyText"/>
      </w:pPr>
      <w:r>
        <w:t xml:space="preserve">This Invoice was generated electronically and is valid without a physical signature in accordance with Dutch electronic invoicing standards (Peppol / EN 16931).</w:t>
      </w:r>
    </w:p>
    <w:p>
      <w:pPr>
        <w:pStyle w:val="BodyText"/>
      </w:pPr>
      <w:r>
        <w:t xml:space="preserve">Thank you for your business. We look forward to continuing our mathematical collaboration in Amsterdam, Netherlands.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Mathematician Services - Netherlands Amsterdam</dc:title>
  <dc:creator/>
  <dc:language>en</dc:language>
  <cp:keywords/>
  <dcterms:created xsi:type="dcterms:W3CDTF">2026-10-10T02:22:57Z</dcterms:created>
  <dcterms:modified xsi:type="dcterms:W3CDTF">2026-10-10T02:22:57Z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