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Invoice No.: INV-PHL-MNL-2025-0047</w:t>
      </w:r>
    </w:p>
    <w:p>
      <w:pPr>
        <w:pStyle w:val="BodyText"/>
      </w:pPr>
      <w:r>
        <w:t xml:space="preserve">PAID</w:t>
      </w:r>
    </w:p>
    <w:bookmarkStart w:id="20" w:name="issued-by"/>
    <w:p>
      <w:pPr>
        <w:pStyle w:val="Heading3"/>
      </w:pPr>
      <w:r>
        <w:t xml:space="preserve">Issued By</w:t>
      </w:r>
    </w:p>
    <w:p>
      <w:pPr>
        <w:pStyle w:val="FirstParagraph"/>
      </w:pPr>
      <w:r>
        <w:rPr>
          <w:bCs/>
          <w:b/>
        </w:rPr>
        <w:t xml:space="preserve">Dr. Alejandro R. Villanueva</w:t>
      </w:r>
      <w:r>
        <w:br/>
      </w:r>
      <w:r>
        <w:t xml:space="preserve">Senior Mathematician &amp; Quantitative Analyst</w:t>
      </w:r>
      <w:r>
        <w:br/>
      </w:r>
      <w:r>
        <w:t xml:space="preserve">Villanueva Mathematical Consulting, Inc.</w:t>
      </w:r>
      <w:r>
        <w:br/>
      </w:r>
      <w:r>
        <w:t xml:space="preserve">128 Ayala Avenue, Makati City</w:t>
      </w:r>
      <w:r>
        <w:br/>
      </w:r>
      <w:r>
        <w:t xml:space="preserve">Philippines Manila, 1226</w:t>
      </w:r>
      <w:r>
        <w:br/>
      </w:r>
      <w:r>
        <w:t xml:space="preserve">Tel: +63 (2) 8834-5672</w:t>
      </w:r>
      <w:r>
        <w:br/>
      </w:r>
      <w:r>
        <w:t xml:space="preserve">Email: a.villanueva@villanueva-math.ph</w:t>
      </w:r>
    </w:p>
    <w:bookmarkEnd w:id="20"/>
    <w:bookmarkStart w:id="21" w:name="billed-to"/>
    <w:p>
      <w:pPr>
        <w:pStyle w:val="Heading3"/>
      </w:pPr>
      <w:r>
        <w:t xml:space="preserve">Billed To</w:t>
      </w:r>
    </w:p>
    <w:p>
      <w:pPr>
        <w:pStyle w:val="FirstParagraph"/>
      </w:pPr>
      <w:r>
        <w:rPr>
          <w:bCs/>
          <w:b/>
        </w:rPr>
        <w:t xml:space="preserve">Philippine National Research Institute (PNRI)</w:t>
      </w:r>
      <w:r>
        <w:br/>
      </w:r>
      <w:r>
        <w:t xml:space="preserve">Attn: Dr. Maria Santos, Director of Applied Sciences</w:t>
      </w:r>
      <w:r>
        <w:br/>
      </w:r>
      <w:r>
        <w:t xml:space="preserve">101 EDSA, Cor. Shaw Blvd.</w:t>
      </w:r>
      <w:r>
        <w:br/>
      </w:r>
      <w:r>
        <w:t xml:space="preserve">Philippines Manila, 1004</w:t>
      </w:r>
      <w:r>
        <w:br/>
      </w:r>
      <w:r>
        <w:t xml:space="preserve">Tel: +63 (2) 8912-3456</w:t>
      </w:r>
      <w:r>
        <w:br/>
      </w:r>
      <w:r>
        <w:t xml:space="preserve">Email: m.santos@pnri.gov.ph</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June 15, 2025</w:t>
      </w:r>
      <w:r>
        <w:br/>
      </w:r>
      <w:r>
        <w:rPr>
          <w:bCs/>
          <w:b/>
        </w:rPr>
        <w:t xml:space="preserve">Due Date:</w:t>
      </w:r>
      <w:r>
        <w:t xml:space="preserve"> </w:t>
      </w:r>
      <w:r>
        <w:t xml:space="preserve">July 15, 2025</w:t>
      </w:r>
      <w:r>
        <w:br/>
      </w:r>
      <w:r>
        <w:rPr>
          <w:bCs/>
          <w:b/>
        </w:rPr>
        <w:t xml:space="preserve">Service Period:</w:t>
      </w:r>
      <w:r>
        <w:t xml:space="preserve"> </w:t>
      </w:r>
      <w:r>
        <w:t xml:space="preserve">March 1 – May 31, 2025</w:t>
      </w:r>
      <w:r>
        <w:br/>
      </w:r>
      <w:r>
        <w:rPr>
          <w:bCs/>
          <w:b/>
        </w:rPr>
        <w:t xml:space="preserve">Currency:</w:t>
      </w:r>
      <w:r>
        <w:t xml:space="preserve"> </w:t>
      </w:r>
      <w:r>
        <w:t xml:space="preserve">Philippine Peso (PHP)</w:t>
      </w:r>
      <w:r>
        <w:br/>
      </w:r>
      <w:r>
        <w:rPr>
          <w:bCs/>
          <w:b/>
        </w:rPr>
        <w:t xml:space="preserve">Payment Terms:</w:t>
      </w:r>
      <w:r>
        <w:t xml:space="preserve"> </w:t>
      </w:r>
      <w:r>
        <w:t xml:space="preserve">Net 30 Days</w:t>
      </w:r>
    </w:p>
    <w:bookmarkEnd w:id="22"/>
    <w:bookmarkStart w:id="24" w:name="Xee8f0f16e855a1cd276c57189b1f432ba308f7e"/>
    <w:p>
      <w:pPr>
        <w:pStyle w:val="Heading3"/>
      </w:pPr>
      <w:r>
        <w:t xml:space="preserve">Description of Mathematician Services Rendered</w:t>
      </w:r>
    </w:p>
    <w:p>
      <w:pPr>
        <w:pStyle w:val="FirstParagraph"/>
      </w:pPr>
      <w:r>
        <w:t xml:space="preserve">This Invoice covers the professional services rendered by Dr. Alejandro R. Villanueva, a licensed Mathematician specializing in applied mathematics, numerical analysis, and statistical modeling, engaged by the Philippine National Research Institute for the development of advanced computational frameworks for climate resilience modeling in the Philippines Manila metropolitan region. The Mathematician provided expert consultation, algorithm design, peer review, and technical documentation throughout the three-month engagement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(PHP)</w:t>
            </w:r>
          </w:p>
        </w:tc>
        <w:tc>
          <w:tcPr/>
          <w:p>
            <w:pPr>
              <w:pStyle w:val="Compact"/>
              <w:jc w:val="left"/>
            </w:pPr>
            <w:r>
              <w:t xml:space="preserve">Hours</w:t>
            </w:r>
          </w:p>
        </w:tc>
        <w:tc>
          <w:tcPr/>
          <w:p>
            <w:pPr>
              <w:pStyle w:val="Compact"/>
              <w:jc w:val="left"/>
            </w:pPr>
            <w:r>
              <w:t xml:space="preserve">Subtotal (PHP)</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Mathematician Consultation – Development of stochastic differential equations for typhoon trajectory prediction models applicable to the Philippines Manila coastal zone</w:t>
            </w:r>
          </w:p>
        </w:tc>
        <w:tc>
          <w:tcPr/>
          <w:p>
            <w:pPr>
              <w:pStyle w:val="Compact"/>
              <w:jc w:val="left"/>
            </w:pPr>
            <w:r>
              <w:t xml:space="preserve">4,500.00</w:t>
            </w:r>
          </w:p>
        </w:tc>
        <w:tc>
          <w:tcPr/>
          <w:p>
            <w:pPr>
              <w:pStyle w:val="Compact"/>
              <w:jc w:val="left"/>
            </w:pPr>
            <w:r>
              <w:t xml:space="preserve">48</w:t>
            </w:r>
          </w:p>
        </w:tc>
        <w:tc>
          <w:tcPr/>
          <w:p>
            <w:pPr>
              <w:pStyle w:val="Compact"/>
              <w:jc w:val="left"/>
            </w:pPr>
            <w:r>
              <w:t xml:space="preserve">216,000.00</w:t>
            </w:r>
          </w:p>
        </w:tc>
        <w:tc>
          <w:tcPr/>
          <w:p>
            <w:pPr>
              <w:pStyle w:val="Compact"/>
              <w:jc w:val="left"/>
            </w:pPr>
            <w:r>
              <w:t xml:space="preserve">25,920.00</w:t>
            </w:r>
          </w:p>
        </w:tc>
      </w:tr>
      <w:tr>
        <w:tc>
          <w:tcPr/>
          <w:p>
            <w:pPr>
              <w:pStyle w:val="Compact"/>
              <w:jc w:val="left"/>
            </w:pPr>
            <w:r>
              <w:t xml:space="preserve">2</w:t>
            </w:r>
          </w:p>
        </w:tc>
        <w:tc>
          <w:tcPr/>
          <w:p>
            <w:pPr>
              <w:pStyle w:val="Compact"/>
              <w:jc w:val="left"/>
            </w:pPr>
            <w:r>
              <w:t xml:space="preserve">Mathematician Technical Review – Peer evaluation of numerical simulation outputs for urban flood risk assessment in Philippines Manila districts</w:t>
            </w:r>
          </w:p>
        </w:tc>
        <w:tc>
          <w:tcPr/>
          <w:p>
            <w:pPr>
              <w:pStyle w:val="Compact"/>
              <w:jc w:val="left"/>
            </w:pPr>
            <w:r>
              <w:t xml:space="preserve">3,800.00</w:t>
            </w:r>
          </w:p>
        </w:tc>
        <w:tc>
          <w:tcPr/>
          <w:p>
            <w:pPr>
              <w:pStyle w:val="Compact"/>
              <w:jc w:val="left"/>
            </w:pPr>
            <w:r>
              <w:t xml:space="preserve">36</w:t>
            </w:r>
          </w:p>
        </w:tc>
        <w:tc>
          <w:tcPr/>
          <w:p>
            <w:pPr>
              <w:pStyle w:val="Compact"/>
              <w:jc w:val="left"/>
            </w:pPr>
            <w:r>
              <w:t xml:space="preserve">136,800.00</w:t>
            </w:r>
          </w:p>
        </w:tc>
        <w:tc>
          <w:tcPr/>
          <w:p>
            <w:pPr>
              <w:pStyle w:val="Compact"/>
              <w:jc w:val="left"/>
            </w:pPr>
            <w:r>
              <w:t xml:space="preserve">16,416.00</w:t>
            </w:r>
          </w:p>
        </w:tc>
      </w:tr>
      <w:tr>
        <w:tc>
          <w:tcPr/>
          <w:p>
            <w:pPr>
              <w:pStyle w:val="Compact"/>
              <w:jc w:val="left"/>
            </w:pPr>
            <w:r>
              <w:t xml:space="preserve">3</w:t>
            </w:r>
          </w:p>
        </w:tc>
        <w:tc>
          <w:tcPr/>
          <w:p>
            <w:pPr>
              <w:pStyle w:val="Compact"/>
              <w:jc w:val="left"/>
            </w:pPr>
            <w:r>
              <w:t xml:space="preserve">Mathematician Workshop Facilitation – Two-day intensive training on Bayesian inference methods for PNRI research staff in Philippines Manila</w:t>
            </w:r>
          </w:p>
        </w:tc>
        <w:tc>
          <w:tcPr/>
          <w:p>
            <w:pPr>
              <w:pStyle w:val="Compact"/>
              <w:jc w:val="left"/>
            </w:pPr>
            <w:r>
              <w:t xml:space="preserve">18,000.00</w:t>
            </w:r>
          </w:p>
        </w:tc>
        <w:tc>
          <w:tcPr/>
          <w:p>
            <w:pPr>
              <w:pStyle w:val="Compact"/>
              <w:jc w:val="left"/>
            </w:pPr>
            <w:r>
              <w:t xml:space="preserve">2</w:t>
            </w:r>
          </w:p>
        </w:tc>
        <w:tc>
          <w:tcPr/>
          <w:p>
            <w:pPr>
              <w:pStyle w:val="Compact"/>
              <w:jc w:val="left"/>
            </w:pPr>
            <w:r>
              <w:t xml:space="preserve">36,000.00</w:t>
            </w:r>
          </w:p>
        </w:tc>
        <w:tc>
          <w:tcPr/>
          <w:p>
            <w:pPr>
              <w:pStyle w:val="Compact"/>
              <w:jc w:val="left"/>
            </w:pPr>
            <w:r>
              <w:t xml:space="preserve">4,320.00</w:t>
            </w:r>
          </w:p>
        </w:tc>
      </w:tr>
      <w:tr>
        <w:tc>
          <w:tcPr/>
          <w:p>
            <w:pPr>
              <w:pStyle w:val="Compact"/>
              <w:jc w:val="left"/>
            </w:pPr>
            <w:r>
              <w:t xml:space="preserve">4</w:t>
            </w:r>
          </w:p>
        </w:tc>
        <w:tc>
          <w:tcPr/>
          <w:p>
            <w:pPr>
              <w:pStyle w:val="Compact"/>
              <w:jc w:val="left"/>
            </w:pPr>
            <w:r>
              <w:t xml:space="preserve">Mathematician Documentation – Authoring of 85-page technical report on optimization algorithms for water distribution networks in the Philippines Manila water district</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Mathematician On-Site Support – Weekly on-site presence at PNRI headquarters in Philippines Manila for collaborative problem-solving sessions</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430,800.00</w:t>
            </w:r>
          </w:p>
        </w:tc>
      </w:tr>
      <w:tr>
        <w:tc>
          <w:tcPr/>
          <w:p>
            <w:pPr>
              <w:pStyle w:val="Compact"/>
              <w:jc w:val="left"/>
            </w:pPr>
            <w:r>
              <w:t xml:space="preserve">VAT (12%)</w:t>
            </w:r>
          </w:p>
        </w:tc>
        <w:tc>
          <w:tcPr/>
          <w:p>
            <w:pPr>
              <w:pStyle w:val="Compact"/>
              <w:jc w:val="left"/>
            </w:pPr>
            <w:r>
              <w:t xml:space="preserve">51,696.00</w:t>
            </w:r>
          </w:p>
        </w:tc>
      </w:tr>
      <w:tr>
        <w:tc>
          <w:tcPr/>
          <w:p>
            <w:pPr>
              <w:pStyle w:val="Compact"/>
              <w:jc w:val="left"/>
            </w:pPr>
            <w:r>
              <w:t xml:space="preserve">Withholding Tax (10%)</w:t>
            </w:r>
          </w:p>
        </w:tc>
        <w:tc>
          <w:tcPr/>
          <w:p>
            <w:pPr>
              <w:pStyle w:val="Compact"/>
              <w:jc w:val="left"/>
            </w:pPr>
            <w:r>
              <w:t xml:space="preserve">(43,080.00)</w:t>
            </w:r>
          </w:p>
        </w:tc>
      </w:tr>
      <w:tr>
        <w:tc>
          <w:tcPr/>
          <w:p>
            <w:pPr>
              <w:pStyle w:val="Compact"/>
              <w:jc w:val="left"/>
            </w:pPr>
            <w:r>
              <w:t xml:space="preserve">Grand Total Due</w:t>
            </w:r>
          </w:p>
        </w:tc>
        <w:tc>
          <w:tcPr/>
          <w:p>
            <w:pPr>
              <w:pStyle w:val="Compact"/>
              <w:jc w:val="left"/>
            </w:pPr>
            <w:r>
              <w:t xml:space="preserve">439,416.00</w:t>
            </w:r>
          </w:p>
        </w:tc>
      </w:tr>
    </w:tbl>
    <w:bookmarkStart w:id="23" w:name="payment-instructions-notes"/>
    <w:p>
      <w:pPr>
        <w:pStyle w:val="Heading4"/>
      </w:pPr>
      <w:r>
        <w:t xml:space="preserve">Payment Instructions &amp; Notes</w:t>
      </w:r>
    </w:p>
    <w:p>
      <w:pPr>
        <w:pStyle w:val="FirstParagraph"/>
      </w:pPr>
      <w:r>
        <w:rPr>
          <w:bCs/>
          <w:b/>
        </w:rPr>
        <w:t xml:space="preserve">Bank:</w:t>
      </w:r>
      <w:r>
        <w:t xml:space="preserve"> </w:t>
      </w:r>
      <w:r>
        <w:t xml:space="preserve">BDO Unibank, Inc. – Makati City Branch, Philippines Manila</w:t>
      </w:r>
      <w:r>
        <w:br/>
      </w:r>
      <w:r>
        <w:rPr>
          <w:bCs/>
          <w:b/>
        </w:rPr>
        <w:t xml:space="preserve">Account Name:</w:t>
      </w:r>
      <w:r>
        <w:t xml:space="preserve"> </w:t>
      </w:r>
      <w:r>
        <w:t xml:space="preserve">Villanueva Mathematical Consulting, Inc.</w:t>
      </w:r>
      <w:r>
        <w:br/>
      </w:r>
      <w:r>
        <w:rPr>
          <w:bCs/>
          <w:b/>
        </w:rPr>
        <w:t xml:space="preserve">Account No.:</w:t>
      </w:r>
      <w:r>
        <w:t xml:space="preserve"> </w:t>
      </w:r>
      <w:r>
        <w:t xml:space="preserve">0034-5678-9012-345-67</w:t>
      </w:r>
      <w:r>
        <w:br/>
      </w:r>
      <w:r>
        <w:rPr>
          <w:bCs/>
          <w:b/>
        </w:rPr>
        <w:t xml:space="preserve">Reference:</w:t>
      </w:r>
      <w:r>
        <w:t xml:space="preserve"> </w:t>
      </w:r>
      <w:r>
        <w:t xml:space="preserve">Please cite Invoice No. INV-PHL-MNL-2025-0047 in all remittances.</w:t>
      </w:r>
    </w:p>
    <w:p>
      <w:pPr>
        <w:pStyle w:val="BodyText"/>
      </w:pPr>
      <w:r>
        <w:br/>
      </w:r>
    </w:p>
    <w:p>
      <w:pPr>
        <w:pStyle w:val="BodyText"/>
      </w:pPr>
      <w:r>
        <w:t xml:space="preserve">This Invoice is issued in accordance with the Bureau of Internal Revenue (BIR) regulations of the Republic of the Philippines. The Mathematician services described herein were performed in full compliance with the professional standards set by the Philippine Association of Mathematicians and the Professional Regulation Commission (PRC). All computations, models, and deliverables referenced in this Invoice have been validated and are the intellectual property of the contracting entity upon full payment.</w:t>
      </w:r>
    </w:p>
    <w:p>
      <w:pPr>
        <w:pStyle w:val="BodyText"/>
      </w:pPr>
      <w:r>
        <w:br/>
      </w:r>
    </w:p>
    <w:p>
      <w:pPr>
        <w:pStyle w:val="BodyText"/>
      </w:pPr>
      <w:r>
        <w:t xml:space="preserve">Payment is due within thirty (30) calendar days from the date of this Invoice. Late payments shall be subject to a 1.5% monthly interest charge as stipulated in the service agreement. Please direct any inquiries regarding this Invoice to the billing department at the address stated above in Philippines Manila.</w:t>
      </w:r>
    </w:p>
    <w:bookmarkEnd w:id="23"/>
    <w:p>
      <w:pPr>
        <w:pStyle w:val="BodyText"/>
      </w:pPr>
      <w:r>
        <w:t xml:space="preserve">Villanueva Mathematical Consulting, Inc. | Philippines Manila, 1226 | BIR TIN: 000-123-456-000 | PRC License No. 12345678</w:t>
      </w:r>
    </w:p>
    <w:p>
      <w:pPr>
        <w:pStyle w:val="BodyText"/>
      </w:pPr>
      <w:r>
        <w:t xml:space="preserve">This Invoice was generated electronically and is valid without a physical signature. Thank you for engaging our Mathematician services.</w:t>
      </w:r>
    </w:p>
    <w:p>
      <w:pPr>
        <w:pStyle w:val="BodyText"/>
      </w:pPr>
      <w:r>
        <w:t xml:space="preserve">© 2025 Villanueva Mathematical Consulting, Inc. All Rights Reserved. Philippines Manila.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Philippines Manila</dc:title>
  <dc:creator/>
  <dc:language>en</dc:language>
  <cp:keywords/>
  <dcterms:created xsi:type="dcterms:W3CDTF">2026-10-10T01:14:37Z</dcterms:created>
  <dcterms:modified xsi:type="dcterms:W3CDTF">2026-10-10T01:14:37Z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