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Mathematical Consulting &amp; Analytical Services</w:t>
      </w:r>
    </w:p>
    <w:p>
      <w:pPr>
        <w:pStyle w:val="BodyText"/>
      </w:pPr>
      <w:r>
        <w:t xml:space="preserve">RUSSIA MOSCOW</w:t>
      </w:r>
      <w:r>
        <w:t xml:space="preserve"> </w:t>
      </w:r>
      <w:r>
        <w:t xml:space="preserve">— Official Commercial Document</w:t>
      </w:r>
    </w:p>
    <w:bookmarkEnd w:id="20"/>
    <w:bookmarkStart w:id="21" w:name="issued-by-mathematician"/>
    <w:p>
      <w:pPr>
        <w:pStyle w:val="Heading3"/>
      </w:pPr>
      <w:r>
        <w:t xml:space="preserve">Issued By (Mathematician)</w:t>
      </w:r>
    </w:p>
    <w:p>
      <w:pPr>
        <w:pStyle w:val="FirstParagraph"/>
      </w:pPr>
      <w:r>
        <w:rPr>
          <w:bCs/>
          <w:b/>
        </w:rPr>
        <w:t xml:space="preserve">Dr. Alexander V. Petrov</w:t>
      </w:r>
    </w:p>
    <w:p>
      <w:pPr>
        <w:pStyle w:val="BodyText"/>
      </w:pPr>
      <w:r>
        <w:t xml:space="preserve">Senior Mathematician &amp; Quantitative Analyst</w:t>
      </w:r>
    </w:p>
    <w:p>
      <w:pPr>
        <w:pStyle w:val="BodyText"/>
      </w:pPr>
      <w:r>
        <w:t xml:space="preserve">Independent Mathematical Consultant</w:t>
      </w:r>
    </w:p>
    <w:p>
      <w:pPr>
        <w:pStyle w:val="BodyText"/>
      </w:pPr>
      <w:r>
        <w:t xml:space="preserve">12 Tverskaya Street, Office 47</w:t>
      </w:r>
    </w:p>
    <w:p>
      <w:pPr>
        <w:pStyle w:val="BodyText"/>
      </w:pPr>
      <w:r>
        <w:t xml:space="preserve">Moscow, Russia 125009</w:t>
      </w:r>
    </w:p>
    <w:p>
      <w:pPr>
        <w:pStyle w:val="BodyText"/>
      </w:pPr>
      <w:r>
        <w:t xml:space="preserve">Tax ID (INN): 7701234567</w:t>
      </w:r>
    </w:p>
    <w:p>
      <w:pPr>
        <w:pStyle w:val="BodyText"/>
      </w:pPr>
      <w:r>
        <w:t xml:space="preserve">Phone: +7 (495) 555-0142</w:t>
      </w:r>
    </w:p>
    <w:p>
      <w:pPr>
        <w:pStyle w:val="BodyText"/>
      </w:pPr>
      <w:r>
        <w:t xml:space="preserve">Email: a.petrov@mathconsult-moscow.ru</w:t>
      </w:r>
    </w:p>
    <w:bookmarkEnd w:id="21"/>
    <w:bookmarkStart w:id="22" w:name="issued-to-client"/>
    <w:p>
      <w:pPr>
        <w:pStyle w:val="Heading3"/>
      </w:pPr>
      <w:r>
        <w:t xml:space="preserve">Issued To (Client)</w:t>
      </w:r>
    </w:p>
    <w:p>
      <w:pPr>
        <w:pStyle w:val="FirstParagraph"/>
      </w:pPr>
      <w:r>
        <w:rPr>
          <w:bCs/>
          <w:b/>
        </w:rPr>
        <w:t xml:space="preserve">OOO "Vektor Analytics Group"</w:t>
      </w:r>
    </w:p>
    <w:p>
      <w:pPr>
        <w:pStyle w:val="BodyText"/>
      </w:pPr>
      <w:r>
        <w:t xml:space="preserve">Attn: Chief Financial Officer</w:t>
      </w:r>
    </w:p>
    <w:p>
      <w:pPr>
        <w:pStyle w:val="BodyText"/>
      </w:pPr>
      <w:r>
        <w:t xml:space="preserve">45 Leningradsky Prospekt, Building 3</w:t>
      </w:r>
    </w:p>
    <w:p>
      <w:pPr>
        <w:pStyle w:val="BodyText"/>
      </w:pPr>
      <w:r>
        <w:t xml:space="preserve">Moscow, Russia 125167</w:t>
      </w:r>
    </w:p>
    <w:p>
      <w:pPr>
        <w:pStyle w:val="BodyText"/>
      </w:pPr>
      <w:r>
        <w:t xml:space="preserve">Legal Entity ID (OGRN): 1157746000000</w:t>
      </w:r>
    </w:p>
    <w:p>
      <w:pPr>
        <w:pStyle w:val="BodyText"/>
      </w:pPr>
      <w:r>
        <w:t xml:space="preserve">Phone: +7 (495) 777-8899</w:t>
      </w:r>
    </w:p>
    <w:p>
      <w:pPr>
        <w:pStyle w:val="BodyText"/>
      </w:pPr>
      <w:r>
        <w:t xml:space="preserve">Email: finance@vektor-analytics.ru</w:t>
      </w:r>
    </w:p>
    <w:bookmarkEnd w:id="22"/>
    <w:p>
      <w:pPr>
        <w:pStyle w:val="BodyText"/>
      </w:pPr>
      <w:r>
        <w:rPr>
          <w:bCs/>
          <w:b/>
        </w:rPr>
        <w:t xml:space="preserve">Invoice Number:</w:t>
      </w:r>
      <w:r>
        <w:t xml:space="preserve"> </w:t>
      </w:r>
      <w:r>
        <w:t xml:space="preserve">INV-MSC-2025-00487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 (15 business days)</w:t>
      </w:r>
    </w:p>
    <w:p>
      <w:pPr>
        <w:pStyle w:val="BodyText"/>
      </w:pPr>
      <w:r>
        <w:rPr>
          <w:bCs/>
          <w:b/>
        </w:rPr>
        <w:t xml:space="preserve">Currency:</w:t>
      </w:r>
      <w:r>
        <w:t xml:space="preserve"> </w:t>
      </w:r>
      <w:r>
        <w:t xml:space="preserve">Russian Ruble (RUB / &amp;rub;)</w:t>
      </w:r>
    </w:p>
    <w:p>
      <w:pPr>
        <w:pStyle w:val="BodyText"/>
      </w:pPr>
      <w:r>
        <w:rPr>
          <w:bCs/>
          <w:b/>
        </w:rPr>
        <w:t xml:space="preserve">Service Period:</w:t>
      </w:r>
      <w:r>
        <w:t xml:space="preserve"> </w:t>
      </w:r>
      <w:r>
        <w:t xml:space="preserve">1 March 2025 – 31 May 2025</w:t>
      </w:r>
    </w:p>
    <w:p>
      <w:pPr>
        <w:pStyle w:val="BodyText"/>
      </w:pPr>
      <w:r>
        <w:rPr>
          <w:bCs/>
          <w:b/>
        </w:rPr>
        <w:t xml:space="preserve">Place of Service:</w:t>
      </w:r>
      <w:r>
        <w:t xml:space="preserve"> </w:t>
      </w:r>
      <w:r>
        <w:t xml:space="preserve">Moscow, Russia</w:t>
      </w:r>
    </w:p>
    <w:p>
      <w:pPr>
        <w:pStyle w:val="BodyText"/>
      </w:pPr>
      <w:r>
        <w:rPr>
          <w:bCs/>
          <w:b/>
        </w:rPr>
        <w:t xml:space="preserve">Governing Jurisdiction:</w:t>
      </w:r>
      <w:r>
        <w:t xml:space="preserve"> </w:t>
      </w:r>
      <w:r>
        <w:t xml:space="preserve">Russian Federation, City of Moscow</w:t>
      </w:r>
    </w:p>
    <w:bookmarkStart w:id="25" w:name="Xf119f799c3cd36fa936aca4c7381c8af5d197eb"/>
    <w:p>
      <w:pPr>
        <w:pStyle w:val="Heading2"/>
      </w:pPr>
      <w:r>
        <w:t xml:space="preserve">Description of Mathematical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Advanced stochastic modeling and probabilistic risk analysis for the client's financial portfolio, conducted by the Mathematician at the client's Moscow office.</w:t>
            </w:r>
          </w:p>
        </w:tc>
        <w:tc>
          <w:tcPr/>
          <w:p>
            <w:pPr>
              <w:pStyle w:val="Compact"/>
              <w:jc w:val="left"/>
            </w:pPr>
            <w:r>
              <w:t xml:space="preserve">48 hours</w:t>
            </w:r>
          </w:p>
        </w:tc>
        <w:tc>
          <w:tcPr/>
          <w:p>
            <w:pPr>
              <w:pStyle w:val="Compact"/>
              <w:jc w:val="left"/>
            </w:pPr>
            <w:r>
              <w:t xml:space="preserve">&amp;rub; 4,500 / hr</w:t>
            </w:r>
          </w:p>
        </w:tc>
        <w:tc>
          <w:tcPr/>
          <w:p>
            <w:pPr>
              <w:pStyle w:val="Compact"/>
              <w:jc w:val="left"/>
            </w:pPr>
            <w:r>
              <w:t xml:space="preserve">&amp;rub; 216,000</w:t>
            </w:r>
          </w:p>
        </w:tc>
      </w:tr>
      <w:tr>
        <w:tc>
          <w:tcPr/>
          <w:p>
            <w:pPr>
              <w:pStyle w:val="Compact"/>
              <w:jc w:val="left"/>
            </w:pPr>
            <w:r>
              <w:t xml:space="preserve">2</w:t>
            </w:r>
          </w:p>
        </w:tc>
        <w:tc>
          <w:tcPr/>
          <w:p>
            <w:pPr>
              <w:pStyle w:val="Compact"/>
              <w:jc w:val="left"/>
            </w:pPr>
            <w:r>
              <w:t xml:space="preserve">Development and validation of differential equation-based forecasting models for supply-chain optimization in the Moscow metropolitan region.</w:t>
            </w:r>
          </w:p>
        </w:tc>
        <w:tc>
          <w:tcPr/>
          <w:p>
            <w:pPr>
              <w:pStyle w:val="Compact"/>
              <w:jc w:val="left"/>
            </w:pPr>
            <w:r>
              <w:t xml:space="preserve">36 hours</w:t>
            </w:r>
          </w:p>
        </w:tc>
        <w:tc>
          <w:tcPr/>
          <w:p>
            <w:pPr>
              <w:pStyle w:val="Compact"/>
              <w:jc w:val="left"/>
            </w:pPr>
            <w:r>
              <w:t xml:space="preserve">&amp;rub; 4,500 / hr</w:t>
            </w:r>
          </w:p>
        </w:tc>
        <w:tc>
          <w:tcPr/>
          <w:p>
            <w:pPr>
              <w:pStyle w:val="Compact"/>
              <w:jc w:val="left"/>
            </w:pPr>
            <w:r>
              <w:t xml:space="preserve">&amp;rub; 162,000</w:t>
            </w:r>
          </w:p>
        </w:tc>
      </w:tr>
      <w:tr>
        <w:tc>
          <w:tcPr/>
          <w:p>
            <w:pPr>
              <w:pStyle w:val="Compact"/>
              <w:jc w:val="left"/>
            </w:pPr>
            <w:r>
              <w:t xml:space="preserve">3</w:t>
            </w:r>
          </w:p>
        </w:tc>
        <w:tc>
          <w:tcPr/>
          <w:p>
            <w:pPr>
              <w:pStyle w:val="Compact"/>
              <w:jc w:val="left"/>
            </w:pPr>
            <w:r>
              <w:t xml:space="preserve">Peer review and mathematical proof verification of the client's proprietary algorithm for combinatorial optimization, including formal documentation of theorems and lemmas.</w:t>
            </w:r>
          </w:p>
        </w:tc>
        <w:tc>
          <w:tcPr/>
          <w:p>
            <w:pPr>
              <w:pStyle w:val="Compact"/>
              <w:jc w:val="left"/>
            </w:pPr>
            <w:r>
              <w:t xml:space="preserve">24 hours</w:t>
            </w:r>
          </w:p>
        </w:tc>
        <w:tc>
          <w:tcPr/>
          <w:p>
            <w:pPr>
              <w:pStyle w:val="Compact"/>
              <w:jc w:val="left"/>
            </w:pPr>
            <w:r>
              <w:t xml:space="preserve">&amp;rub; 5,200 / hr</w:t>
            </w:r>
          </w:p>
        </w:tc>
        <w:tc>
          <w:tcPr/>
          <w:p>
            <w:pPr>
              <w:pStyle w:val="Compact"/>
              <w:jc w:val="left"/>
            </w:pPr>
            <w:r>
              <w:t xml:space="preserve">&amp;rub; 124,800</w:t>
            </w:r>
          </w:p>
        </w:tc>
      </w:tr>
      <w:tr>
        <w:tc>
          <w:tcPr/>
          <w:p>
            <w:pPr>
              <w:pStyle w:val="Compact"/>
              <w:jc w:val="left"/>
            </w:pPr>
            <w:r>
              <w:t xml:space="preserve">4</w:t>
            </w:r>
          </w:p>
        </w:tc>
        <w:tc>
          <w:tcPr/>
          <w:p>
            <w:pPr>
              <w:pStyle w:val="Compact"/>
              <w:jc w:val="left"/>
            </w:pPr>
            <w:r>
              <w:t xml:space="preserve">On-site workshop (2 days) at the client's headquarters in Moscow, Russia, training the internal data-science team on applied linear algebra, matrix decomposition techniques, and numerical methods for large-scale systems.</w:t>
            </w:r>
          </w:p>
        </w:tc>
        <w:tc>
          <w:tcPr/>
          <w:p>
            <w:pPr>
              <w:pStyle w:val="Compact"/>
              <w:jc w:val="left"/>
            </w:pPr>
            <w:r>
              <w:t xml:space="preserve">16 hours</w:t>
            </w:r>
          </w:p>
        </w:tc>
        <w:tc>
          <w:tcPr/>
          <w:p>
            <w:pPr>
              <w:pStyle w:val="Compact"/>
              <w:jc w:val="left"/>
            </w:pPr>
            <w:r>
              <w:t xml:space="preserve">&amp;rub; 6,000 / hr</w:t>
            </w:r>
          </w:p>
        </w:tc>
        <w:tc>
          <w:tcPr/>
          <w:p>
            <w:pPr>
              <w:pStyle w:val="Compact"/>
              <w:jc w:val="left"/>
            </w:pPr>
            <w:r>
              <w:t xml:space="preserve">&amp;rub; 96,000</w:t>
            </w:r>
          </w:p>
        </w:tc>
      </w:tr>
      <w:tr>
        <w:tc>
          <w:tcPr/>
          <w:p>
            <w:pPr>
              <w:pStyle w:val="Compact"/>
              <w:jc w:val="left"/>
            </w:pPr>
            <w:r>
              <w:t xml:space="preserve">5</w:t>
            </w:r>
          </w:p>
        </w:tc>
        <w:tc>
          <w:tcPr/>
          <w:p>
            <w:pPr>
              <w:pStyle w:val="Compact"/>
              <w:jc w:val="left"/>
            </w:pPr>
            <w:r>
              <w:t xml:space="preserve">Preparation of a comprehensive 40-page mathematical report detailing the convergence properties, error bounds, and sensitivity analysis of the client's Monte Carlo simulation framework.</w:t>
            </w:r>
          </w:p>
        </w:tc>
        <w:tc>
          <w:tcPr/>
          <w:p>
            <w:pPr>
              <w:pStyle w:val="Compact"/>
              <w:jc w:val="left"/>
            </w:pPr>
            <w:r>
              <w:t xml:space="preserve">1 project</w:t>
            </w:r>
          </w:p>
        </w:tc>
        <w:tc>
          <w:tcPr/>
          <w:p>
            <w:pPr>
              <w:pStyle w:val="Compact"/>
              <w:jc w:val="left"/>
            </w:pPr>
            <w:r>
              <w:t xml:space="preserve">&amp;rub; 85,000 flat</w:t>
            </w:r>
          </w:p>
        </w:tc>
        <w:tc>
          <w:tcPr/>
          <w:p>
            <w:pPr>
              <w:pStyle w:val="Compact"/>
              <w:jc w:val="left"/>
            </w:pPr>
            <w:r>
              <w:t xml:space="preserve">&amp;rub; 85,000</w:t>
            </w:r>
          </w:p>
        </w:tc>
      </w:tr>
      <w:tr>
        <w:tc>
          <w:tcPr/>
          <w:p>
            <w:pPr>
              <w:pStyle w:val="Compact"/>
              <w:jc w:val="left"/>
            </w:pPr>
            <w:r>
              <w:t xml:space="preserve">6</w:t>
            </w:r>
          </w:p>
        </w:tc>
        <w:tc>
          <w:tcPr/>
          <w:p>
            <w:pPr>
              <w:pStyle w:val="Compact"/>
              <w:jc w:val="left"/>
            </w:pPr>
            <w:r>
              <w:t xml:space="preserve">Ad-hoc mathematical consultation via telephone and secure video conference (Moscow time zone, UTC+3) for urgent analytical queries during the service period.</w:t>
            </w:r>
          </w:p>
        </w:tc>
        <w:tc>
          <w:tcPr/>
          <w:p>
            <w:pPr>
              <w:pStyle w:val="Compact"/>
              <w:jc w:val="left"/>
            </w:pPr>
            <w:r>
              <w:t xml:space="preserve">12 hours</w:t>
            </w:r>
          </w:p>
        </w:tc>
        <w:tc>
          <w:tcPr/>
          <w:p>
            <w:pPr>
              <w:pStyle w:val="Compact"/>
              <w:jc w:val="left"/>
            </w:pPr>
            <w:r>
              <w:t xml:space="preserve">&amp;rub; 3,800 / hr</w:t>
            </w:r>
          </w:p>
        </w:tc>
        <w:tc>
          <w:tcPr/>
          <w:p>
            <w:pPr>
              <w:pStyle w:val="Compact"/>
              <w:jc w:val="left"/>
            </w:pPr>
            <w:r>
              <w:t xml:space="preserve">&amp;rub; 45,600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&amp;rub; 729,400.00</w:t>
            </w:r>
          </w:p>
        </w:tc>
      </w:tr>
      <w:tr>
        <w:tc>
          <w:tcPr/>
          <w:p>
            <w:pPr>
              <w:pStyle w:val="Compact"/>
              <w:jc w:val="left"/>
            </w:pPr>
            <w:r>
              <w:t xml:space="preserve">VAT (20% — Russian Federation)</w:t>
            </w:r>
          </w:p>
        </w:tc>
        <w:tc>
          <w:tcPr/>
          <w:p>
            <w:pPr>
              <w:pStyle w:val="Compact"/>
              <w:jc w:val="right"/>
            </w:pPr>
            <w:r>
              <w:t xml:space="preserve">&amp;rub; 145,880.00</w:t>
            </w:r>
          </w:p>
        </w:tc>
      </w:tr>
      <w:tr>
        <w:tc>
          <w:tcPr/>
          <w:p>
            <w:pPr>
              <w:pStyle w:val="Compact"/>
              <w:jc w:val="left"/>
            </w:pPr>
            <w:r>
              <w:t xml:space="preserve">Travel &amp; Local Transport (within Moscow, Russia)</w:t>
            </w:r>
          </w:p>
        </w:tc>
        <w:tc>
          <w:tcPr/>
          <w:p>
            <w:pPr>
              <w:pStyle w:val="Compact"/>
              <w:jc w:val="right"/>
            </w:pPr>
            <w:r>
              <w:t xml:space="preserve">&amp;rub; 12,500.00</w:t>
            </w:r>
          </w:p>
        </w:tc>
      </w:tr>
      <w:tr>
        <w:tc>
          <w:tcPr/>
          <w:p>
            <w:pPr>
              <w:pStyle w:val="Compact"/>
              <w:jc w:val="left"/>
            </w:pPr>
            <w:r>
              <w:t xml:space="preserve">Document Printing &amp; Archiving Fee</w:t>
            </w:r>
          </w:p>
        </w:tc>
        <w:tc>
          <w:tcPr/>
          <w:p>
            <w:pPr>
              <w:pStyle w:val="Compact"/>
              <w:jc w:val="right"/>
            </w:pPr>
            <w:r>
              <w:t xml:space="preserve">&amp;rub; 3,200.00</w:t>
            </w:r>
          </w:p>
        </w:tc>
      </w:tr>
      <w:tr>
        <w:tc>
          <w:tcPr/>
          <w:p>
            <w:pPr>
              <w:pStyle w:val="Compact"/>
              <w:jc w:val="left"/>
            </w:pPr>
            <w:r>
              <w:t xml:space="preserve">GRAND TOTAL DUE</w:t>
            </w:r>
          </w:p>
        </w:tc>
        <w:tc>
          <w:tcPr/>
          <w:p>
            <w:pPr>
              <w:pStyle w:val="Compact"/>
              <w:jc w:val="right"/>
            </w:pPr>
            <w:r>
              <w:t xml:space="preserve">&amp;rub; 890,980.00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Sberbank, Moscow Branch, Russia</w:t>
      </w:r>
    </w:p>
    <w:p>
      <w:pPr>
        <w:pStyle w:val="BodyText"/>
      </w:pPr>
      <w:r>
        <w:rPr>
          <w:bCs/>
          <w:b/>
        </w:rPr>
        <w:t xml:space="preserve">Account Holder:</w:t>
      </w:r>
      <w:r>
        <w:t xml:space="preserve"> </w:t>
      </w:r>
      <w:r>
        <w:t xml:space="preserve">Dr. Alexander V. Petrov (Individual Entrepreneur / Samozanyatyy)</w:t>
      </w:r>
    </w:p>
    <w:p>
      <w:pPr>
        <w:pStyle w:val="BodyText"/>
      </w:pPr>
      <w:r>
        <w:rPr>
          <w:bCs/>
          <w:b/>
        </w:rPr>
        <w:t xml:space="preserve">Account Number (R/S):</w:t>
      </w:r>
      <w:r>
        <w:t xml:space="preserve"> </w:t>
      </w:r>
      <w:r>
        <w:t xml:space="preserve">40802810100000012345</w:t>
      </w:r>
    </w:p>
    <w:p>
      <w:pPr>
        <w:pStyle w:val="BodyText"/>
      </w:pPr>
      <w:r>
        <w:rPr>
          <w:bCs/>
          <w:b/>
        </w:rPr>
        <w:t xml:space="preserve">Correspondent Account (K/S):</w:t>
      </w:r>
      <w:r>
        <w:t xml:space="preserve"> </w:t>
      </w:r>
      <w:r>
        <w:t xml:space="preserve">30101810400000000603</w:t>
      </w:r>
    </w:p>
    <w:p>
      <w:pPr>
        <w:pStyle w:val="BodyText"/>
      </w:pPr>
      <w:r>
        <w:rPr>
          <w:bCs/>
          <w:b/>
        </w:rPr>
        <w:t xml:space="preserve">BIC / SWIFT:</w:t>
      </w:r>
      <w:r>
        <w:t xml:space="preserve"> </w:t>
      </w:r>
      <w:r>
        <w:t xml:space="preserve">SABRRUMM</w:t>
      </w:r>
    </w:p>
    <w:p>
      <w:pPr>
        <w:pStyle w:val="BodyText"/>
      </w:pPr>
      <w:r>
        <w:rPr>
          <w:bCs/>
          <w:b/>
        </w:rPr>
        <w:t xml:space="preserve">Reference:</w:t>
      </w:r>
      <w:r>
        <w:t xml:space="preserve"> </w:t>
      </w:r>
      <w:r>
        <w:t xml:space="preserve">INV-MSC-2025-00487</w:t>
      </w:r>
    </w:p>
    <w:p>
      <w:pPr>
        <w:pStyle w:val="BodyText"/>
      </w:pPr>
      <w:r>
        <w:rPr>
          <w:bCs/>
          <w:b/>
        </w:rPr>
        <w:t xml:space="preserve">Payment Method:</w:t>
      </w:r>
      <w:r>
        <w:t xml:space="preserve"> </w:t>
      </w:r>
      <w:r>
        <w:t xml:space="preserve">Bank transfer (bezraschyotny platyozh) in Russian Rubles (RUB)</w:t>
      </w:r>
    </w:p>
    <w:p>
      <w:pPr>
        <w:pStyle w:val="BodyText"/>
      </w:pPr>
      <w:r>
        <w:rPr>
          <w:bCs/>
          <w:b/>
        </w:rPr>
        <w:t xml:space="preserve">Payment Deadline:</w:t>
      </w:r>
      <w:r>
        <w:t xml:space="preserve"> </w:t>
      </w:r>
      <w:r>
        <w:t xml:space="preserve">No later than 30 June 2025. Late payments shall accrue interest at 0.1% per calendar day in accordance with Article 317.1 of the Civil Code of the Russian Federation.</w:t>
      </w:r>
    </w:p>
    <w:bookmarkEnd w:id="23"/>
    <w:bookmarkStart w:id="24" w:name="terms-conditions-notes"/>
    <w:p>
      <w:pPr>
        <w:pStyle w:val="Heading3"/>
      </w:pPr>
      <w:r>
        <w:t xml:space="preserve">Terms, Conditions &amp; Notes</w:t>
      </w:r>
    </w:p>
    <w:p>
      <w:pPr>
        <w:numPr>
          <w:ilvl w:val="0"/>
          <w:numId w:val="1001"/>
        </w:numPr>
        <w:pStyle w:val="Compact"/>
      </w:pPr>
      <w:r>
        <w:t xml:space="preserve">This Invoice is issued in accordance with the Service Agreement dated 28 February 2025 (Contract No. MA-2025-0112) between the Mathematician (Dr. A.V. Petrov) and OOO "Vektor Analytics Group," both parties being legally resident in Moscow, Russia.</w:t>
      </w:r>
    </w:p>
    <w:p>
      <w:pPr>
        <w:numPr>
          <w:ilvl w:val="0"/>
          <w:numId w:val="1001"/>
        </w:numPr>
        <w:pStyle w:val="Compact"/>
      </w:pPr>
      <w:r>
        <w:t xml:space="preserve">All mathematical analyses, proofs, models, and reports delivered under this Invoice remain the intellectual property of the client upon full payment. The Mathematician retains the right to reference the work in academic publications with prior written consent.</w:t>
      </w:r>
    </w:p>
    <w:p>
      <w:pPr>
        <w:numPr>
          <w:ilvl w:val="0"/>
          <w:numId w:val="1001"/>
        </w:numPr>
        <w:pStyle w:val="Compact"/>
      </w:pPr>
      <w:r>
        <w:t xml:space="preserve">The Mathematician confirms that all services were performed in full compliance with the professional standards of the Russian Mathematical Society and applicable regulations of the Ministry of Education and Science of the Russian Federation.</w:t>
      </w:r>
    </w:p>
    <w:p>
      <w:pPr>
        <w:numPr>
          <w:ilvl w:val="0"/>
          <w:numId w:val="1001"/>
        </w:numPr>
        <w:pStyle w:val="Compact"/>
      </w:pPr>
      <w:r>
        <w:t xml:space="preserve">This Invoice is valid for 90 calendar days from the date of issue. After this period, the client must request a reissued Invoice reflecting any applicable tax adjustments.</w:t>
      </w:r>
    </w:p>
    <w:p>
      <w:pPr>
        <w:numPr>
          <w:ilvl w:val="0"/>
          <w:numId w:val="1001"/>
        </w:numPr>
        <w:pStyle w:val="Compact"/>
      </w:pPr>
      <w:r>
        <w:t xml:space="preserve">All communications regarding this Invoice shall be directed to the Mathematician's registered office in Moscow, Russia, or via the email address specified above. Official correspondence in Russian or English is acceptable.</w:t>
      </w:r>
    </w:p>
    <w:p>
      <w:pPr>
        <w:numPr>
          <w:ilvl w:val="0"/>
          <w:numId w:val="1001"/>
        </w:numPr>
        <w:pStyle w:val="Compact"/>
      </w:pPr>
      <w:r>
        <w:t xml:space="preserve">In the event of a dispute arising from this Invoice, the parties agree to resolve the matter through arbitration at the Arbitration Court of the City of Moscow, Russia, in accordance with the Arbitration Procedure Code of the Russian Federation.</w:t>
      </w:r>
    </w:p>
    <w:p>
      <w:pPr>
        <w:numPr>
          <w:ilvl w:val="0"/>
          <w:numId w:val="1001"/>
        </w:numPr>
        <w:pStyle w:val="Compact"/>
      </w:pPr>
      <w:r>
        <w:t xml:space="preserve">The Mathematician warrants that all numerical results, derivations, and analytical conclusions provided during the service period are accurate to the best of his professional judgment and in accordance with established mathematical methodology.</w:t>
      </w:r>
    </w:p>
    <w:bookmarkEnd w:id="24"/>
    <w:p>
      <w:pPr>
        <w:pStyle w:val="FirstParagraph"/>
      </w:pPr>
      <w:r>
        <w:rPr>
          <w:bCs/>
          <w:b/>
        </w:rPr>
        <w:t xml:space="preserve">Prepared &amp; Issued By:</w:t>
      </w:r>
    </w:p>
    <w:p>
      <w:pPr>
        <w:pStyle w:val="BodyText"/>
      </w:pPr>
      <w:r>
        <w:t xml:space="preserve">Dr. Alexander V. Petrov</w:t>
      </w:r>
    </w:p>
    <w:p>
      <w:pPr>
        <w:pStyle w:val="BodyText"/>
      </w:pPr>
      <w:r>
        <w:t xml:space="preserve">Mathematician &amp; Consultant</w:t>
      </w:r>
    </w:p>
    <w:p>
      <w:pPr>
        <w:pStyle w:val="BodyText"/>
      </w:pPr>
      <w:r>
        <w:t xml:space="preserve">Signature &amp; Date</w:t>
      </w:r>
    </w:p>
    <w:p>
      <w:pPr>
        <w:pStyle w:val="BodyText"/>
      </w:pPr>
      <w:r>
        <w:rPr>
          <w:bCs/>
          <w:b/>
        </w:rPr>
        <w:t xml:space="preserve">Received &amp; Acknowledged By:</w:t>
      </w:r>
    </w:p>
    <w:p>
      <w:pPr>
        <w:pStyle w:val="BodyText"/>
      </w:pPr>
      <w:r>
        <w:t xml:space="preserve">OOO "Vektor Analytics Group"</w:t>
      </w:r>
    </w:p>
    <w:p>
      <w:pPr>
        <w:pStyle w:val="BodyText"/>
      </w:pPr>
      <w:r>
        <w:t xml:space="preserve">Authorized Representative</w:t>
      </w:r>
    </w:p>
    <w:p>
      <w:pPr>
        <w:pStyle w:val="BodyText"/>
      </w:pPr>
      <w:r>
        <w:t xml:space="preserve">Signature, Stamp &amp; Date</w:t>
      </w:r>
    </w:p>
    <w:p>
      <w:pPr>
        <w:pStyle w:val="BodyText"/>
      </w:pPr>
      <w:r>
        <w:rPr>
          <w:bCs/>
          <w:b/>
        </w:rPr>
        <w:t xml:space="preserve">Invoice INV-MSC-2025-00487</w:t>
      </w:r>
      <w:r>
        <w:t xml:space="preserve"> </w:t>
      </w:r>
      <w:r>
        <w:t xml:space="preserve">— Issued in Moscow, Russia — 15 June 2025</w:t>
      </w:r>
    </w:p>
    <w:p>
      <w:pPr>
        <w:pStyle w:val="BodyText"/>
      </w:pPr>
      <w:r>
        <w:t xml:space="preserve">This document constitutes a legally binding Invoice under the tax legislation of the Russian Federation (Tax Code of the RF, Part II, Chapter 21).</w:t>
      </w:r>
    </w:p>
    <w:p>
      <w:pPr>
        <w:pStyle w:val="BodyText"/>
      </w:pPr>
      <w:r>
        <w:t xml:space="preserve">Dr. Alexander V. Petrov — Independent Mathematician — Moscow, Russia — INN: 7701234567</w:t>
      </w:r>
    </w:p>
    <w:p>
      <w:pPr>
        <w:pStyle w:val="BodyText"/>
      </w:pPr>
      <w:r>
        <w:t xml:space="preserve">© 2025 Petrov Mathematical Consulting, Moscow. All rights reserved. This Invoice is generated electronically and carries the same legal force as a paper document bearing a wet-ink signature and company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Russia Moscow</dc:title>
  <dc:creator/>
  <dc:language>en</dc:language>
  <cp:keywords/>
  <dcterms:created xsi:type="dcterms:W3CDTF">2026-10-10T03:11:28Z</dcterms:created>
  <dcterms:modified xsi:type="dcterms:W3CDTF">2026-10-10T03:11:28Z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