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invoice"/>
    <w:p>
      <w:pPr>
        <w:pStyle w:val="Heading1"/>
      </w:pPr>
      <w:r>
        <w:t xml:space="preserve">INVOICE</w:t>
      </w:r>
    </w:p>
    <w:p>
      <w:pPr>
        <w:pStyle w:val="FirstParagraph"/>
      </w:pPr>
      <w:r>
        <w:t xml:space="preserve">Professional Mathematician Consulting Services</w:t>
      </w:r>
    </w:p>
    <w:p>
      <w:pPr>
        <w:pStyle w:val="BodyText"/>
      </w:pPr>
      <w:r>
        <w:t xml:space="preserve">Registered in Singapore Singapore | UEN: 202412345K</w:t>
      </w:r>
    </w:p>
    <w:p>
      <w:pPr>
        <w:pStyle w:val="BodyText"/>
      </w:pPr>
      <w:r>
        <w:t xml:space="preserve">INVOICE STATUS: PENDING PAYMENT</w:t>
      </w:r>
    </w:p>
    <w:bookmarkEnd w:id="20"/>
    <w:bookmarkStart w:id="21" w:name="invoice-issued-by-mathematician"/>
    <w:p>
      <w:pPr>
        <w:pStyle w:val="Heading3"/>
      </w:pPr>
      <w:r>
        <w:t xml:space="preserve">Invoice Issued By (Mathematician)</w:t>
      </w:r>
    </w:p>
    <w:p>
      <w:pPr>
        <w:pStyle w:val="FirstParagraph"/>
      </w:pPr>
      <w:r>
        <w:rPr>
          <w:bCs/>
          <w:b/>
        </w:rPr>
        <w:t xml:space="preserve">Dr. Alan Tan, Ph.D. in Applied Mathematics</w:t>
      </w:r>
    </w:p>
    <w:p>
      <w:pPr>
        <w:pStyle w:val="BodyText"/>
      </w:pPr>
      <w:r>
        <w:t xml:space="preserve">Senior Mathematician &amp; Quantitative Analyst</w:t>
      </w:r>
    </w:p>
    <w:p>
      <w:pPr>
        <w:pStyle w:val="BodyText"/>
      </w:pPr>
      <w:r>
        <w:t xml:space="preserve">Tan Mathematical Consulting Pte. Ltd.</w:t>
      </w:r>
    </w:p>
    <w:p>
      <w:pPr>
        <w:pStyle w:val="BodyText"/>
      </w:pPr>
      <w:r>
        <w:t xml:space="preserve">128 Robinson Road, #21-04</w:t>
      </w:r>
    </w:p>
    <w:p>
      <w:pPr>
        <w:pStyle w:val="BodyText"/>
      </w:pPr>
      <w:r>
        <w:t xml:space="preserve">Singapore Singapore 068913</w:t>
      </w:r>
    </w:p>
    <w:p>
      <w:pPr>
        <w:pStyle w:val="BodyText"/>
      </w:pPr>
      <w:r>
        <w:t xml:space="preserve">Email: alan.tan@tanmath.sg</w:t>
      </w:r>
    </w:p>
    <w:p>
      <w:pPr>
        <w:pStyle w:val="BodyText"/>
      </w:pPr>
      <w:r>
        <w:t xml:space="preserve">Phone: +65 6821 4455</w:t>
      </w:r>
    </w:p>
    <w:bookmarkEnd w:id="21"/>
    <w:bookmarkStart w:id="22" w:name="invoice-billed-to-client"/>
    <w:p>
      <w:pPr>
        <w:pStyle w:val="Heading3"/>
      </w:pPr>
      <w:r>
        <w:t xml:space="preserve">Invoice Billed To (Client)</w:t>
      </w:r>
    </w:p>
    <w:p>
      <w:pPr>
        <w:pStyle w:val="FirstParagraph"/>
      </w:pPr>
      <w:r>
        <w:rPr>
          <w:bCs/>
          <w:b/>
        </w:rPr>
        <w:t xml:space="preserve">Meridian Financial Analytics Pte. Ltd.</w:t>
      </w:r>
    </w:p>
    <w:p>
      <w:pPr>
        <w:pStyle w:val="BodyText"/>
      </w:pPr>
      <w:r>
        <w:t xml:space="preserve">Attn: Ms. Priya Raman, Chief Financial Officer</w:t>
      </w:r>
    </w:p>
    <w:p>
      <w:pPr>
        <w:pStyle w:val="BodyText"/>
      </w:pPr>
      <w:r>
        <w:t xml:space="preserve">8 Marina Boulevard, #35-01</w:t>
      </w:r>
    </w:p>
    <w:p>
      <w:pPr>
        <w:pStyle w:val="BodyText"/>
      </w:pPr>
      <w:r>
        <w:t xml:space="preserve">Singapore Singapore 018981</w:t>
      </w:r>
    </w:p>
    <w:p>
      <w:pPr>
        <w:pStyle w:val="BodyText"/>
      </w:pPr>
      <w:r>
        <w:t xml:space="preserve">Email: priya.raman@meridianfa.com</w:t>
      </w:r>
    </w:p>
    <w:p>
      <w:pPr>
        <w:pStyle w:val="BodyText"/>
      </w:pPr>
      <w:r>
        <w:t xml:space="preserve">Phone: +65 6733 2200</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Invoice Ref.</w:t>
            </w:r>
          </w:p>
        </w:tc>
        <w:tc>
          <w:tcPr/>
          <w:p>
            <w:pPr>
              <w:pStyle w:val="Compact"/>
              <w:jc w:val="left"/>
            </w:pPr>
            <w:r>
              <w:t xml:space="preserve">Invoice Date</w:t>
            </w:r>
          </w:p>
        </w:tc>
        <w:tc>
          <w:tcPr/>
          <w:p>
            <w:pPr>
              <w:pStyle w:val="Compact"/>
              <w:jc w:val="left"/>
            </w:pPr>
            <w:r>
              <w:t xml:space="preserve">Due Date</w:t>
            </w:r>
          </w:p>
        </w:tc>
        <w:tc>
          <w:tcPr/>
          <w:p>
            <w:pPr>
              <w:pStyle w:val="Compact"/>
              <w:jc w:val="left"/>
            </w:pPr>
            <w:r>
              <w:t xml:space="preserve">Payment Terms</w:t>
            </w:r>
          </w:p>
        </w:tc>
        <w:tc>
          <w:tcPr/>
          <w:p>
            <w:pPr>
              <w:pStyle w:val="Compact"/>
              <w:jc w:val="left"/>
            </w:pPr>
            <w:r>
              <w:t xml:space="preserve">Service Period</w:t>
            </w:r>
          </w:p>
        </w:tc>
      </w:tr>
      <w:tr>
        <w:tc>
          <w:tcPr/>
          <w:p>
            <w:pPr>
              <w:pStyle w:val="Compact"/>
              <w:jc w:val="left"/>
            </w:pPr>
            <w:r>
              <w:t xml:space="preserve">INV-2025-0047</w:t>
            </w:r>
          </w:p>
        </w:tc>
        <w:tc>
          <w:tcPr/>
          <w:p>
            <w:pPr>
              <w:pStyle w:val="Compact"/>
              <w:jc w:val="left"/>
            </w:pPr>
            <w:r>
              <w:t xml:space="preserve">15 June 2025</w:t>
            </w:r>
          </w:p>
        </w:tc>
        <w:tc>
          <w:tcPr/>
          <w:p>
            <w:pPr>
              <w:pStyle w:val="Compact"/>
              <w:jc w:val="left"/>
            </w:pPr>
            <w:r>
              <w:t xml:space="preserve">15 July 2025</w:t>
            </w:r>
          </w:p>
        </w:tc>
        <w:tc>
          <w:tcPr/>
          <w:p>
            <w:pPr>
              <w:pStyle w:val="Compact"/>
              <w:jc w:val="left"/>
            </w:pPr>
            <w:r>
              <w:t xml:space="preserve">Net 30 Days</w:t>
            </w:r>
          </w:p>
        </w:tc>
        <w:tc>
          <w:tcPr/>
          <w:p>
            <w:pPr>
              <w:pStyle w:val="Compact"/>
              <w:jc w:val="left"/>
            </w:pPr>
            <w:r>
              <w:t xml:space="preserve">1 Mar 2025 – 31 May 2025</w:t>
            </w:r>
          </w:p>
        </w:tc>
      </w:tr>
    </w:tbl>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Mathematician Services Rendered</w:t>
            </w:r>
          </w:p>
        </w:tc>
        <w:tc>
          <w:tcPr/>
          <w:p>
            <w:pPr>
              <w:pStyle w:val="Compact"/>
              <w:jc w:val="left"/>
            </w:pPr>
            <w:r>
              <w:t xml:space="preserve">Rate (SGD)</w:t>
            </w:r>
          </w:p>
        </w:tc>
        <w:tc>
          <w:tcPr/>
          <w:p>
            <w:pPr>
              <w:pStyle w:val="Compact"/>
              <w:jc w:val="left"/>
            </w:pPr>
            <w:r>
              <w:t xml:space="preserve">Hours / Units</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Advanced stochastic modelling and Monte Carlo simulation design for portfolio risk assessment. The Mathematician developed a novel multi-dimensional Brownian motion framework tailored to the client's derivative pricing requirements in Singapore Singapore's financial markets.</w:t>
            </w:r>
          </w:p>
        </w:tc>
        <w:tc>
          <w:tcPr/>
          <w:p>
            <w:pPr>
              <w:pStyle w:val="Compact"/>
              <w:jc w:val="left"/>
            </w:pPr>
            <w:r>
              <w:t xml:space="preserve">350.00</w:t>
            </w:r>
          </w:p>
        </w:tc>
        <w:tc>
          <w:tcPr/>
          <w:p>
            <w:pPr>
              <w:pStyle w:val="Compact"/>
              <w:jc w:val="left"/>
            </w:pPr>
            <w:r>
              <w:t xml:space="preserve">48 hrs</w:t>
            </w:r>
          </w:p>
        </w:tc>
        <w:tc>
          <w:tcPr/>
          <w:p>
            <w:pPr>
              <w:pStyle w:val="Compact"/>
              <w:jc w:val="left"/>
            </w:pPr>
            <w:r>
              <w:t xml:space="preserve">16,800.00</w:t>
            </w:r>
          </w:p>
        </w:tc>
      </w:tr>
      <w:tr>
        <w:tc>
          <w:tcPr/>
          <w:p>
            <w:pPr>
              <w:pStyle w:val="Compact"/>
              <w:jc w:val="left"/>
            </w:pPr>
            <w:r>
              <w:t xml:space="preserve">2</w:t>
            </w:r>
          </w:p>
        </w:tc>
        <w:tc>
          <w:tcPr/>
          <w:p>
            <w:pPr>
              <w:pStyle w:val="Compact"/>
              <w:jc w:val="left"/>
            </w:pPr>
            <w:r>
              <w:t xml:space="preserve">Optimization algorithm development using convex and non-convex mathematical programming. The Mathematician engineered a custom gradient-descent solver to minimize transaction costs across 14 asset classes, delivering a 12.4% improvement over the client's existing heuristic approach.</w:t>
            </w:r>
          </w:p>
        </w:tc>
        <w:tc>
          <w:tcPr/>
          <w:p>
            <w:pPr>
              <w:pStyle w:val="Compact"/>
              <w:jc w:val="left"/>
            </w:pPr>
            <w:r>
              <w:t xml:space="preserve">350.00</w:t>
            </w:r>
          </w:p>
        </w:tc>
        <w:tc>
          <w:tcPr/>
          <w:p>
            <w:pPr>
              <w:pStyle w:val="Compact"/>
              <w:jc w:val="left"/>
            </w:pPr>
            <w:r>
              <w:t xml:space="preserve">36 hrs</w:t>
            </w:r>
          </w:p>
        </w:tc>
        <w:tc>
          <w:tcPr/>
          <w:p>
            <w:pPr>
              <w:pStyle w:val="Compact"/>
              <w:jc w:val="left"/>
            </w:pPr>
            <w:r>
              <w:t xml:space="preserve">12,600.00</w:t>
            </w:r>
          </w:p>
        </w:tc>
      </w:tr>
      <w:tr>
        <w:tc>
          <w:tcPr/>
          <w:p>
            <w:pPr>
              <w:pStyle w:val="Compact"/>
              <w:jc w:val="left"/>
            </w:pPr>
            <w:r>
              <w:t xml:space="preserve">3</w:t>
            </w:r>
          </w:p>
        </w:tc>
        <w:tc>
          <w:tcPr/>
          <w:p>
            <w:pPr>
              <w:pStyle w:val="Compact"/>
              <w:jc w:val="left"/>
            </w:pPr>
            <w:r>
              <w:t xml:space="preserve">Statistical inference and Bayesian network construction for credit default swap (CDS) correlation modelling. The Mathematician performed rigorous hypothesis testing, posterior distribution analysis, and Markov Chain Monte Carlo (MCMC) convergence diagnostics as part of the quarterly risk review mandated by the Monetary Authority of Singapore Singapore.</w:t>
            </w:r>
          </w:p>
        </w:tc>
        <w:tc>
          <w:tcPr/>
          <w:p>
            <w:pPr>
              <w:pStyle w:val="Compact"/>
              <w:jc w:val="left"/>
            </w:pPr>
            <w:r>
              <w:t xml:space="preserve">350.00</w:t>
            </w:r>
          </w:p>
        </w:tc>
        <w:tc>
          <w:tcPr/>
          <w:p>
            <w:pPr>
              <w:pStyle w:val="Compact"/>
              <w:jc w:val="left"/>
            </w:pPr>
            <w:r>
              <w:t xml:space="preserve">28 hrs</w:t>
            </w:r>
          </w:p>
        </w:tc>
        <w:tc>
          <w:tcPr/>
          <w:p>
            <w:pPr>
              <w:pStyle w:val="Compact"/>
              <w:jc w:val="left"/>
            </w:pPr>
            <w:r>
              <w:t xml:space="preserve">9,800.00</w:t>
            </w:r>
          </w:p>
        </w:tc>
      </w:tr>
      <w:tr>
        <w:tc>
          <w:tcPr/>
          <w:p>
            <w:pPr>
              <w:pStyle w:val="Compact"/>
              <w:jc w:val="left"/>
            </w:pPr>
            <w:r>
              <w:t xml:space="preserve">4</w:t>
            </w:r>
          </w:p>
        </w:tc>
        <w:tc>
          <w:tcPr/>
          <w:p>
            <w:pPr>
              <w:pStyle w:val="Compact"/>
              <w:jc w:val="left"/>
            </w:pPr>
            <w:r>
              <w:t xml:space="preserve">Mathematical documentation and peer-review of the quantitative risk framework. The Mathematician authored a 42-page technical white paper detailing the underlying theorems, proof sketches, and numerical stability analyses. This document was submitted to the client's internal audit committee and external regulators in Singapore Singapore.</w:t>
            </w:r>
          </w:p>
        </w:tc>
        <w:tc>
          <w:tcPr/>
          <w:p>
            <w:pPr>
              <w:pStyle w:val="Compact"/>
              <w:jc w:val="left"/>
            </w:pPr>
            <w:r>
              <w:t xml:space="preserve">300.00</w:t>
            </w:r>
          </w:p>
        </w:tc>
        <w:tc>
          <w:tcPr/>
          <w:p>
            <w:pPr>
              <w:pStyle w:val="Compact"/>
              <w:jc w:val="left"/>
            </w:pPr>
            <w:r>
              <w:t xml:space="preserve">20 hrs</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On-site workshop and knowledge transfer session for the client's in-house quantitative team. The Mathematician conducted a full-day intensive covering partial differential equations (PDEs) for option pricing, numerical methods for finite difference schemes, and sensitivity analysis (Greeks) computation. Held at the client's office in Singapore Singapore.</w:t>
            </w:r>
          </w:p>
        </w:tc>
        <w:tc>
          <w:tcPr/>
          <w:p>
            <w:pPr>
              <w:pStyle w:val="Compact"/>
              <w:jc w:val="left"/>
            </w:pPr>
            <w:r>
              <w:t xml:space="preserve">2,500.00</w:t>
            </w:r>
          </w:p>
        </w:tc>
        <w:tc>
          <w:tcPr/>
          <w:p>
            <w:pPr>
              <w:pStyle w:val="Compact"/>
              <w:jc w:val="left"/>
            </w:pPr>
            <w:r>
              <w:t xml:space="preserve">1 day</w:t>
            </w:r>
          </w:p>
        </w:tc>
        <w:tc>
          <w:tcPr/>
          <w:p>
            <w:pPr>
              <w:pStyle w:val="Compact"/>
              <w:jc w:val="left"/>
            </w:pPr>
            <w:r>
              <w:t xml:space="preserve">2,500.00</w:t>
            </w:r>
          </w:p>
        </w:tc>
      </w:tr>
      <w:tr>
        <w:tc>
          <w:tcPr/>
          <w:p>
            <w:pPr>
              <w:pStyle w:val="Compact"/>
              <w:jc w:val="left"/>
            </w:pPr>
            <w:r>
              <w:t xml:space="preserve">6</w:t>
            </w:r>
          </w:p>
        </w:tc>
        <w:tc>
          <w:tcPr/>
          <w:p>
            <w:pPr>
              <w:pStyle w:val="Compact"/>
              <w:jc w:val="left"/>
            </w:pPr>
            <w:r>
              <w:t xml:space="preserve">Ad-hoc mathematical consultation and email correspondence regarding edge-case anomalies in the client's volatility surface interpolation. The Mathematician provided written derivations and recommended corrections to the cubic spline fitting procedure.</w:t>
            </w:r>
          </w:p>
        </w:tc>
        <w:tc>
          <w:tcPr/>
          <w:p>
            <w:pPr>
              <w:pStyle w:val="Compact"/>
              <w:jc w:val="left"/>
            </w:pPr>
            <w:r>
              <w:t xml:space="preserve">350.00</w:t>
            </w:r>
          </w:p>
        </w:tc>
        <w:tc>
          <w:tcPr/>
          <w:p>
            <w:pPr>
              <w:pStyle w:val="Compact"/>
              <w:jc w:val="left"/>
            </w:pPr>
            <w:r>
              <w:t xml:space="preserve">8 hrs</w:t>
            </w:r>
          </w:p>
        </w:tc>
        <w:tc>
          <w:tcPr/>
          <w:p>
            <w:pPr>
              <w:pStyle w:val="Compact"/>
              <w:jc w:val="left"/>
            </w:pPr>
            <w:r>
              <w:t xml:space="preserve">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SGD 50,500.00</w:t>
            </w:r>
          </w:p>
        </w:tc>
      </w:tr>
      <w:tr>
        <w:tc>
          <w:tcPr/>
          <w:p>
            <w:pPr>
              <w:pStyle w:val="Compact"/>
              <w:jc w:val="left"/>
            </w:pPr>
            <w:r>
              <w:t xml:space="preserve">GST @ 9% (Singapore Singapore)</w:t>
            </w:r>
          </w:p>
        </w:tc>
        <w:tc>
          <w:tcPr/>
          <w:p>
            <w:pPr>
              <w:pStyle w:val="Compact"/>
              <w:jc w:val="left"/>
            </w:pPr>
            <w:r>
              <w:t xml:space="preserve">SGD 4,545.00</w:t>
            </w:r>
          </w:p>
        </w:tc>
      </w:tr>
      <w:tr>
        <w:tc>
          <w:tcPr/>
          <w:p>
            <w:pPr>
              <w:pStyle w:val="Compact"/>
              <w:jc w:val="left"/>
            </w:pPr>
            <w:r>
              <w:t xml:space="preserve">Early Payment Discount (2% if paid within 10 days)</w:t>
            </w:r>
          </w:p>
        </w:tc>
        <w:tc>
          <w:tcPr/>
          <w:p>
            <w:pPr>
              <w:pStyle w:val="Compact"/>
              <w:jc w:val="left"/>
            </w:pPr>
            <w:r>
              <w:t xml:space="preserve">- SGD 1,010.00</w:t>
            </w:r>
          </w:p>
        </w:tc>
      </w:tr>
      <w:tr>
        <w:tc>
          <w:tcPr/>
          <w:p>
            <w:pPr>
              <w:pStyle w:val="Compact"/>
              <w:jc w:val="left"/>
            </w:pPr>
            <w:r>
              <w:t xml:space="preserve">Grand Total Due</w:t>
            </w:r>
          </w:p>
        </w:tc>
        <w:tc>
          <w:tcPr/>
          <w:p>
            <w:pPr>
              <w:pStyle w:val="Compact"/>
              <w:jc w:val="left"/>
            </w:pPr>
            <w:r>
              <w:t xml:space="preserve">SGD 54,035.00</w:t>
            </w:r>
          </w:p>
        </w:tc>
      </w:tr>
    </w:tbl>
    <w:bookmarkStart w:id="23" w:name="invoice-notes-payment-instructions"/>
    <w:p>
      <w:pPr>
        <w:pStyle w:val="Heading3"/>
      </w:pPr>
      <w:r>
        <w:t xml:space="preserve">Invoice Notes &amp; Payment Instructions</w:t>
      </w:r>
    </w:p>
    <w:p>
      <w:pPr>
        <w:pStyle w:val="FirstParagraph"/>
      </w:pPr>
      <w:r>
        <w:rPr>
          <w:bCs/>
          <w:b/>
        </w:rPr>
        <w:t xml:space="preserve">Payment Method:</w:t>
      </w:r>
      <w:r>
        <w:t xml:space="preserve"> </w:t>
      </w:r>
      <w:r>
        <w:t xml:space="preserve">Bank Transfer to DBS Bank, Account Name: Tan Mathematical Consulting Pte. Ltd., Account Number: 012-345678-901, SWIFT Code: DBSSSGSG. Please reference Invoice number INV-2025-0047 in your payment remittance.</w:t>
      </w:r>
    </w:p>
    <w:p>
      <w:pPr>
        <w:pStyle w:val="BodyText"/>
      </w:pPr>
      <w:r>
        <w:rPr>
          <w:bCs/>
          <w:b/>
        </w:rPr>
        <w:t xml:space="preserve">Payment Deadline:</w:t>
      </w:r>
      <w:r>
        <w:t xml:space="preserve"> </w:t>
      </w:r>
      <w:r>
        <w:t xml:space="preserve">This Invoice is due within thirty (30) calendar days from the Invoice date of 15 June 2025. Failure to remit payment by 15 July 2025 will incur a late payment interest charge of 1.5% per month, in accordance with the Singapore Singapore Late Payment of Business Debts Act.</w:t>
      </w:r>
    </w:p>
    <w:p>
      <w:pPr>
        <w:pStyle w:val="BodyText"/>
      </w:pPr>
      <w:r>
        <w:rPr>
          <w:bCs/>
          <w:b/>
        </w:rPr>
        <w:t xml:space="preserve">Scope Confirmation:</w:t>
      </w:r>
      <w:r>
        <w:t xml:space="preserve"> </w:t>
      </w:r>
      <w:r>
        <w:t xml:space="preserve">All Mathematician services listed above were performed in full compliance with the Statement of Work (SOW) dated 28 February 2025, Contract Reference MFC-2025-003. The Mathematician confirms that all deliverables, including simulation code, mathematical proofs, and the technical white paper, have been handed over to the client's designated project manager.</w:t>
      </w:r>
    </w:p>
    <w:p>
      <w:pPr>
        <w:pStyle w:val="BodyText"/>
      </w:pPr>
      <w:r>
        <w:rPr>
          <w:bCs/>
          <w:b/>
        </w:rPr>
        <w:t xml:space="preserve">Tax Compliance:</w:t>
      </w:r>
      <w:r>
        <w:t xml:space="preserve"> </w:t>
      </w:r>
      <w:r>
        <w:t xml:space="preserve">This Invoice has been issued in accordance with the Goods and Services Tax (GST) Act of Singapore Singapore. The 9% GST rate is applied as the Mathematician's consulting firm is registered with the Inland Revenue Authority of Singapore Singapore (IRAS) under GST Registration Number G99-1234567X.</w:t>
      </w:r>
    </w:p>
    <w:p>
      <w:pPr>
        <w:pStyle w:val="BodyText"/>
      </w:pPr>
      <w:r>
        <w:rPr>
          <w:bCs/>
          <w:b/>
        </w:rPr>
        <w:t xml:space="preserve">Dispute Resolution:</w:t>
      </w:r>
      <w:r>
        <w:t xml:space="preserve"> </w:t>
      </w:r>
      <w:r>
        <w:t xml:space="preserve">Any disputes arising from this Invoice shall be resolved through mediation in Singapore Singapore under the rules of the Singapore Mediation Centre. If mediation is unsuccessful, the matter shall be referred to the courts of Singapore Singapore.</w:t>
      </w:r>
    </w:p>
    <w:p>
      <w:pPr>
        <w:pStyle w:val="BodyText"/>
      </w:pPr>
      <w:r>
        <w:rPr>
          <w:bCs/>
          <w:b/>
        </w:rPr>
        <w:t xml:space="preserve">Confidentiality:</w:t>
      </w:r>
      <w:r>
        <w:t xml:space="preserve"> </w:t>
      </w:r>
      <w:r>
        <w:t xml:space="preserve">The Mathematician reaffirms the non-disclosure obligations set forth in the NDA executed on 20 February 2025. All mathematical models, algorithms, and proprietary data processed during the engagement remain the exclusive intellectual property of Meridian Financial Analytics Pte. Ltd. unless otherwise stated in the SOW.</w:t>
      </w:r>
    </w:p>
    <w:bookmarkEnd w:id="23"/>
    <w:p>
      <w:pPr>
        <w:pStyle w:val="BodyText"/>
      </w:pPr>
      <w:r>
        <w:t xml:space="preserve">This Invoice was generated electronically by Tan Mathematical Consulting Pte. Ltd., a company incorporated in Singapore Singapore (UEN: 202412345K). This electronic Invoice constitutes a valid tax document under Singapore Singapore law and is equivalent to a paper Invoice for all regulatory and accounting purposes.</w:t>
      </w:r>
    </w:p>
    <w:p>
      <w:pPr>
        <w:pStyle w:val="BodyText"/>
      </w:pPr>
      <w:r>
        <w:t xml:space="preserve">Thank you for engaging our Mathematician's expertise. We look forward to continuing our professional partnership in Singapore Singapore.</w:t>
      </w:r>
    </w:p>
    <w:p>
      <w:pPr>
        <w:pStyle w:val="BodyText"/>
      </w:pPr>
      <w:r>
        <w:t xml:space="preserve">— End of Invoice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Singapore Singapore</dc:title>
  <dc:creator/>
  <dc:language>en</dc:language>
  <cp:keywords/>
  <dcterms:created xsi:type="dcterms:W3CDTF">2026-10-10T03:41:56Z</dcterms:created>
  <dcterms:modified xsi:type="dcterms:W3CDTF">2026-10-10T03:41:56Z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