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Professional Mathematician Consulting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No.:</w:t>
      </w:r>
      <w:r>
        <w:t xml:space="preserve"> </w:t>
      </w:r>
      <w:r>
        <w:t xml:space="preserve">TBM-2025-04782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Location:</w:t>
      </w:r>
      <w:r>
        <w:t xml:space="preserve"> </w:t>
      </w:r>
      <w:r>
        <w:t xml:space="preserve">Thailand Bangkok</w:t>
      </w:r>
    </w:p>
    <w:bookmarkEnd w:id="20"/>
    <w:bookmarkStart w:id="21" w:name="from-service-provider"/>
    <w:p>
      <w:pPr>
        <w:pStyle w:val="Heading4"/>
      </w:pPr>
      <w:r>
        <w:t xml:space="preserve">From (Service Provider)</w:t>
      </w:r>
    </w:p>
    <w:p>
      <w:pPr>
        <w:pStyle w:val="FirstParagraph"/>
      </w:pPr>
      <w:r>
        <w:rPr>
          <w:bCs/>
          <w:b/>
        </w:rPr>
        <w:t xml:space="preserve">Dr. Ananya Rattanakorn</w:t>
      </w:r>
    </w:p>
    <w:p>
      <w:pPr>
        <w:pStyle w:val="BodyText"/>
      </w:pPr>
      <w:r>
        <w:t xml:space="preserve">Senior Mathematician &amp; Quantitative Analyst</w:t>
      </w:r>
    </w:p>
    <w:p>
      <w:pPr>
        <w:pStyle w:val="BodyText"/>
      </w:pPr>
      <w:r>
        <w:t xml:space="preserve">Quantum Mathematics Consulting Co., Ltd.</w:t>
      </w:r>
    </w:p>
    <w:p>
      <w:pPr>
        <w:pStyle w:val="BodyText"/>
      </w:pPr>
      <w:r>
        <w:t xml:space="preserve">88/12 Sukhumvit Road, Soi 21</w:t>
      </w:r>
    </w:p>
    <w:p>
      <w:pPr>
        <w:pStyle w:val="BodyText"/>
      </w:pPr>
      <w:r>
        <w:t xml:space="preserve">Khlong Toei Nuea, Watthana</w:t>
      </w:r>
    </w:p>
    <w:p>
      <w:pPr>
        <w:pStyle w:val="BodyText"/>
      </w:pPr>
      <w:r>
        <w:t xml:space="preserve">Bangkok 10110, Thailand</w:t>
      </w:r>
    </w:p>
    <w:p>
      <w:pPr>
        <w:pStyle w:val="BodyText"/>
      </w:pPr>
      <w:r>
        <w:t xml:space="preserve">Tax ID: 0-1055-48291-37-5</w:t>
      </w:r>
    </w:p>
    <w:p>
      <w:pPr>
        <w:pStyle w:val="BodyText"/>
      </w:pPr>
      <w:r>
        <w:t xml:space="preserve">Email: ananya@quantummath-bkk.co.th</w:t>
      </w:r>
    </w:p>
    <w:p>
      <w:pPr>
        <w:pStyle w:val="BodyText"/>
      </w:pPr>
      <w:r>
        <w:t xml:space="preserve">Phone: +66 2 254 8891</w:t>
      </w:r>
    </w:p>
    <w:bookmarkEnd w:id="21"/>
    <w:bookmarkStart w:id="22" w:name="bill-to-client"/>
    <w:p>
      <w:pPr>
        <w:pStyle w:val="Heading4"/>
      </w:pPr>
      <w:r>
        <w:t xml:space="preserve">Bill To (Client)</w:t>
      </w:r>
    </w:p>
    <w:p>
      <w:pPr>
        <w:pStyle w:val="FirstParagraph"/>
      </w:pPr>
      <w:r>
        <w:rPr>
          <w:bCs/>
          <w:b/>
        </w:rPr>
        <w:t xml:space="preserve">Thai Pacific Financial Group PCL</w:t>
      </w:r>
    </w:p>
    <w:p>
      <w:pPr>
        <w:pStyle w:val="BodyText"/>
      </w:pPr>
      <w:r>
        <w:t xml:space="preserve">Attn: Mr. Somchai Wongsawat</w:t>
      </w:r>
    </w:p>
    <w:p>
      <w:pPr>
        <w:pStyle w:val="BodyText"/>
      </w:pPr>
      <w:r>
        <w:t xml:space="preserve">Chief Risk Officer</w:t>
      </w:r>
    </w:p>
    <w:p>
      <w:pPr>
        <w:pStyle w:val="BodyText"/>
      </w:pPr>
      <w:r>
        <w:t xml:space="preserve">120 Ratchadamri Road, Lumphini</w:t>
      </w:r>
    </w:p>
    <w:p>
      <w:pPr>
        <w:pStyle w:val="BodyText"/>
      </w:pPr>
      <w:r>
        <w:t xml:space="preserve">Pathum Wan, Bangkok 10330</w:t>
      </w:r>
    </w:p>
    <w:p>
      <w:pPr>
        <w:pStyle w:val="BodyText"/>
      </w:pPr>
      <w:r>
        <w:t xml:space="preserve">Thailand</w:t>
      </w:r>
    </w:p>
    <w:p>
      <w:pPr>
        <w:pStyle w:val="BodyText"/>
      </w:pPr>
      <w:r>
        <w:t xml:space="preserve">Tax ID: 0-1055-67234-12-8</w:t>
      </w:r>
    </w:p>
    <w:p>
      <w:pPr>
        <w:pStyle w:val="BodyText"/>
      </w:pPr>
      <w:r>
        <w:t xml:space="preserve">Email: s.wongsawat@thaipacificfg.co.th</w:t>
      </w:r>
    </w:p>
    <w:p>
      <w:pPr>
        <w:pStyle w:val="BodyText"/>
      </w:pPr>
      <w:r>
        <w:t xml:space="preserve">Phone: +66 2 655 3400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Advanced stochastic modeling and risk quantification analysis for derivative pricing frameworks. The Mathematician conducted a comprehensive review of the existing Monte Carlo simulation engine and proposed optimized numerical integration methods to reduce computational variance by 34%.</w:t>
            </w:r>
          </w:p>
        </w:tc>
        <w:tc>
          <w:tcPr/>
          <w:p>
            <w:pPr>
              <w:pStyle w:val="Compact"/>
              <w:jc w:val="left"/>
            </w:pPr>
            <w:r>
              <w:t xml:space="preserve">02 Jun 2025</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Development of a novel partial differential equation (PDE) solver for multi-asset option pricing under stochastic volatility. The Mathematician delivered a complete mathematical proof of convergence and provided implementation documentation for the engineering team in Thailand Bangkok.</w:t>
            </w:r>
          </w:p>
        </w:tc>
        <w:tc>
          <w:tcPr/>
          <w:p>
            <w:pPr>
              <w:pStyle w:val="Compact"/>
              <w:jc w:val="left"/>
            </w:pPr>
            <w:r>
              <w:t xml:space="preserve">05 Jun 2025</w:t>
            </w:r>
          </w:p>
        </w:tc>
        <w:tc>
          <w:tcPr/>
          <w:p>
            <w:pPr>
              <w:pStyle w:val="Compact"/>
              <w:jc w:val="left"/>
            </w:pPr>
            <w:r>
              <w:t xml:space="preserve">16.0</w:t>
            </w:r>
          </w:p>
        </w:tc>
        <w:tc>
          <w:tcPr/>
          <w:p>
            <w:pPr>
              <w:pStyle w:val="Compact"/>
              <w:jc w:val="left"/>
            </w:pPr>
            <w:r>
              <w:t xml:space="preserve">4,500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On-site workshop and training session for the quantitative finance team. The Mathematician delivered a four-day intensive course covering advanced topics in measure-theoretic probability, martingale theory, and optimal stopping problems. Conducted at the client's headquarters in Thailand Bangkok.</w:t>
            </w:r>
          </w:p>
        </w:tc>
        <w:tc>
          <w:tcPr/>
          <w:p>
            <w:pPr>
              <w:pStyle w:val="Compact"/>
              <w:jc w:val="left"/>
            </w:pPr>
            <w:r>
              <w:t xml:space="preserve">09–12 Jun 2025</w:t>
            </w:r>
          </w:p>
        </w:tc>
        <w:tc>
          <w:tcPr/>
          <w:p>
            <w:pPr>
              <w:pStyle w:val="Compact"/>
              <w:jc w:val="left"/>
            </w:pPr>
            <w:r>
              <w:t xml:space="preserve">32.0</w:t>
            </w:r>
          </w:p>
        </w:tc>
        <w:tc>
          <w:tcPr/>
          <w:p>
            <w:pPr>
              <w:pStyle w:val="Compact"/>
              <w:jc w:val="left"/>
            </w:pPr>
            <w:r>
              <w:t xml:space="preserve">5,200</w:t>
            </w:r>
          </w:p>
        </w:tc>
        <w:tc>
          <w:tcPr/>
          <w:p>
            <w:pPr>
              <w:pStyle w:val="Compact"/>
              <w:jc w:val="left"/>
            </w:pPr>
            <w:r>
              <w:t xml:space="preserve">166,400.00</w:t>
            </w:r>
          </w:p>
        </w:tc>
      </w:tr>
      <w:tr>
        <w:tc>
          <w:tcPr/>
          <w:p>
            <w:pPr>
              <w:pStyle w:val="Compact"/>
              <w:jc w:val="left"/>
            </w:pPr>
            <w:r>
              <w:t xml:space="preserve">4</w:t>
            </w:r>
          </w:p>
        </w:tc>
        <w:tc>
          <w:tcPr/>
          <w:p>
            <w:pPr>
              <w:pStyle w:val="Compact"/>
              <w:jc w:val="left"/>
            </w:pPr>
            <w:r>
              <w:t xml:space="preserve">Peer review and mathematical validation of the client's credit risk VaR model. The Mathematician identified three critical assumptions in the copula structure and provided corrected formulations with rigorous proof of the revised dependency framework.</w:t>
            </w:r>
          </w:p>
        </w:tc>
        <w:tc>
          <w:tcPr/>
          <w:p>
            <w:pPr>
              <w:pStyle w:val="Compact"/>
              <w:jc w:val="left"/>
            </w:pPr>
            <w:r>
              <w:t xml:space="preserve">13 Jun 2025</w:t>
            </w:r>
          </w:p>
        </w:tc>
        <w:tc>
          <w:tcPr/>
          <w:p>
            <w:pPr>
              <w:pStyle w:val="Compact"/>
              <w:jc w:val="left"/>
            </w:pPr>
            <w:r>
              <w:t xml:space="preserve">8.0</w:t>
            </w:r>
          </w:p>
        </w:tc>
        <w:tc>
          <w:tcPr/>
          <w:p>
            <w:pPr>
              <w:pStyle w:val="Compact"/>
              <w:jc w:val="left"/>
            </w:pPr>
            <w:r>
              <w:t xml:space="preserve">4,500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Preparation of a formal mathematical white paper on high-frequency trading signal optimization using spectral analysis and wavelet transforms. This document was prepared specifically for the client's regulatory submission to the Securities and Exchange Commission of Thailand (SEC) in Bangkok.</w:t>
            </w:r>
          </w:p>
        </w:tc>
        <w:tc>
          <w:tcPr/>
          <w:p>
            <w:pPr>
              <w:pStyle w:val="Compact"/>
              <w:jc w:val="left"/>
            </w:pPr>
            <w:r>
              <w:t xml:space="preserve">14 Jun 2025</w:t>
            </w:r>
          </w:p>
        </w:tc>
        <w:tc>
          <w:tcPr/>
          <w:p>
            <w:pPr>
              <w:pStyle w:val="Compact"/>
              <w:jc w:val="left"/>
            </w:pPr>
            <w:r>
              <w:t xml:space="preserve">10.0</w:t>
            </w:r>
          </w:p>
        </w:tc>
        <w:tc>
          <w:tcPr/>
          <w:p>
            <w:pPr>
              <w:pStyle w:val="Compact"/>
              <w:jc w:val="left"/>
            </w:pPr>
            <w:r>
              <w:t xml:space="preserve">4,500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373,400.00 THB</w:t>
            </w:r>
          </w:p>
        </w:tc>
      </w:tr>
      <w:tr>
        <w:tc>
          <w:tcPr/>
          <w:p>
            <w:pPr>
              <w:pStyle w:val="Compact"/>
              <w:jc w:val="left"/>
            </w:pPr>
            <w:r>
              <w:t xml:space="preserve">VAT (7% – Thailand)</w:t>
            </w:r>
          </w:p>
        </w:tc>
        <w:tc>
          <w:tcPr/>
          <w:p>
            <w:pPr>
              <w:pStyle w:val="Compact"/>
              <w:jc w:val="right"/>
            </w:pPr>
            <w:r>
              <w:t xml:space="preserve">26,138.00 THB</w:t>
            </w:r>
          </w:p>
        </w:tc>
      </w:tr>
      <w:tr>
        <w:tc>
          <w:tcPr/>
          <w:p>
            <w:pPr>
              <w:pStyle w:val="Compact"/>
              <w:jc w:val="left"/>
            </w:pPr>
            <w:r>
              <w:t xml:space="preserve">Withholding Tax (1% – Thailand)</w:t>
            </w:r>
          </w:p>
        </w:tc>
        <w:tc>
          <w:tcPr/>
          <w:p>
            <w:pPr>
              <w:pStyle w:val="Compact"/>
              <w:jc w:val="right"/>
            </w:pPr>
            <w:r>
              <w:t xml:space="preserve">(3,734.00) THB</w:t>
            </w:r>
          </w:p>
        </w:tc>
      </w:tr>
      <w:tr>
        <w:tc>
          <w:tcPr/>
          <w:p>
            <w:pPr>
              <w:pStyle w:val="Compact"/>
              <w:jc w:val="left"/>
            </w:pPr>
            <w:r>
              <w:t xml:space="preserve">Grand Total Due</w:t>
            </w:r>
          </w:p>
        </w:tc>
        <w:tc>
          <w:tcPr/>
          <w:p>
            <w:pPr>
              <w:pStyle w:val="Compact"/>
              <w:jc w:val="right"/>
            </w:pPr>
            <w:r>
              <w:t xml:space="preserve">395,804.00 THB</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Siam Commercial Bank (SCB)</w:t>
      </w:r>
    </w:p>
    <w:p>
      <w:pPr>
        <w:pStyle w:val="BodyText"/>
      </w:pPr>
      <w:r>
        <w:rPr>
          <w:bCs/>
          <w:b/>
        </w:rPr>
        <w:t xml:space="preserve">Account Name:</w:t>
      </w:r>
      <w:r>
        <w:t xml:space="preserve"> </w:t>
      </w:r>
      <w:r>
        <w:t xml:space="preserve">Quantum Mathematics Consulting Co., Ltd.</w:t>
      </w:r>
    </w:p>
    <w:p>
      <w:pPr>
        <w:pStyle w:val="BodyText"/>
      </w:pPr>
      <w:r>
        <w:rPr>
          <w:bCs/>
          <w:b/>
        </w:rPr>
        <w:t xml:space="preserve">Account No.:</w:t>
      </w:r>
      <w:r>
        <w:t xml:space="preserve"> </w:t>
      </w:r>
      <w:r>
        <w:t xml:space="preserve">012-3-45678-9</w:t>
      </w:r>
    </w:p>
    <w:p>
      <w:pPr>
        <w:pStyle w:val="BodyText"/>
      </w:pPr>
      <w:r>
        <w:rPr>
          <w:bCs/>
          <w:b/>
        </w:rPr>
        <w:t xml:space="preserve">SWIFT Code:</w:t>
      </w:r>
      <w:r>
        <w:t xml:space="preserve"> </w:t>
      </w:r>
      <w:r>
        <w:t xml:space="preserve">SIBLTHB0XXX</w:t>
      </w:r>
    </w:p>
    <w:p>
      <w:pPr>
        <w:pStyle w:val="BodyText"/>
      </w:pPr>
      <w:r>
        <w:rPr>
          <w:bCs/>
          <w:b/>
        </w:rPr>
        <w:t xml:space="preserve">Reference:</w:t>
      </w:r>
      <w:r>
        <w:t xml:space="preserve"> </w:t>
      </w:r>
      <w:r>
        <w:t xml:space="preserve">Please cite Invoice No. TBM-2025-04782 in all payment communications.</w:t>
      </w:r>
    </w:p>
    <w:p>
      <w:pPr>
        <w:pStyle w:val="BodyText"/>
      </w:pPr>
      <w:r>
        <w:rPr>
          <w:bCs/>
          <w:b/>
        </w:rPr>
        <w:t xml:space="preserve">Payment Method:</w:t>
      </w:r>
      <w:r>
        <w:t xml:space="preserve"> </w:t>
      </w:r>
      <w:r>
        <w:t xml:space="preserve">Bank Transfer (THB) or International Wire (USD equivalent at prevailing rate)</w:t>
      </w:r>
    </w:p>
    <w:p>
      <w:pPr>
        <w:pStyle w:val="BodyText"/>
      </w:pPr>
      <w:r>
        <w:rPr>
          <w:bCs/>
          <w:b/>
        </w:rPr>
        <w:t xml:space="preserve">Overdue Penalty:</w:t>
      </w:r>
      <w:r>
        <w:t xml:space="preserve"> </w:t>
      </w:r>
      <w:r>
        <w:t xml:space="preserve">1.5% per month on outstanding balance as per Thai Commercial Code.</w:t>
      </w:r>
    </w:p>
    <w:bookmarkEnd w:id="23"/>
    <w:bookmarkStart w:id="24" w:name="important-notes-terms"/>
    <w:p>
      <w:pPr>
        <w:pStyle w:val="Heading4"/>
      </w:pPr>
      <w:r>
        <w:t xml:space="preserve">Important Notes &amp; Terms</w:t>
      </w:r>
    </w:p>
    <w:p>
      <w:pPr>
        <w:pStyle w:val="FirstParagraph"/>
      </w:pPr>
      <w:r>
        <w:t xml:space="preserve">1. This Invoice is issued in accordance with the Service Agreement dated 1 January 2025 between Quantum Mathematics Consulting Co., Ltd. and Thai Pacific Financial Group PCL, both registered in Thailand Bangkok.</w:t>
      </w:r>
    </w:p>
    <w:p>
      <w:pPr>
        <w:pStyle w:val="BodyText"/>
      </w:pPr>
      <w:r>
        <w:t xml:space="preserve">2. All mathematical deliverables, proofs, code, and documentation provided by the Mathematician remain the intellectual property of the service provider unless explicitly stated otherwise in the master agreement.</w:t>
      </w:r>
    </w:p>
    <w:p>
      <w:pPr>
        <w:pStyle w:val="BodyText"/>
      </w:pPr>
      <w:r>
        <w:t xml:space="preserve">3. The Mathematician's services were performed in full compliance with the Thai Revenue Code and all applicable regulations of the Department of Business Development, Ministry of Commerce, Thailand.</w:t>
      </w:r>
    </w:p>
    <w:p>
      <w:pPr>
        <w:pStyle w:val="BodyText"/>
      </w:pPr>
      <w:r>
        <w:t xml:space="preserve">4. This Invoice is valid for 90 days from the issue date. Payment must be received no later than the stated due date to avoid late-payment penalties as governed by Thai commercial law.</w:t>
      </w:r>
    </w:p>
    <w:p>
      <w:pPr>
        <w:pStyle w:val="BodyText"/>
      </w:pPr>
      <w:r>
        <w:t xml:space="preserve">5. Any disputes arising from this Invoice shall be resolved through arbitration in Bangkok, Thailand, under the rules of the Thai Arbitration Institute.</w:t>
      </w:r>
    </w:p>
    <w:p>
      <w:pPr>
        <w:pStyle w:val="BodyText"/>
      </w:pPr>
      <w:r>
        <w:t xml:space="preserve">6. The Mathematician confirms that all numerical results, mathematical proofs, and analytical models delivered under this engagement have been independently verified and are accurate to within the stated tolerances.</w:t>
      </w:r>
    </w:p>
    <w:bookmarkEnd w:id="24"/>
    <w:p>
      <w:pPr>
        <w:pStyle w:val="BodyText"/>
      </w:pPr>
      <w:r>
        <w:t xml:space="preserve">Thank you for your business. We appreciate the opportunity to provide expert Mathematician services to your organization in Thailand Bangkok.</w:t>
      </w:r>
    </w:p>
    <w:p>
      <w:pPr>
        <w:pStyle w:val="BodyText"/>
      </w:pPr>
      <w:r>
        <w:t xml:space="preserve">This is a computer-generated Invoice and does not require a physical signature. For authentication, please verify the document hash with our office at +66 2 254 8891.</w:t>
      </w:r>
    </w:p>
    <w:p>
      <w:pPr>
        <w:pStyle w:val="BodyText"/>
      </w:pPr>
      <w:r>
        <w:t xml:space="preserve">Quantum Mathematics Consulting Co., Ltd. | Bangkok, Thailand | Registered Capital: 5,000,000 THB</w:t>
      </w:r>
    </w:p>
    <w:p>
      <w:pPr>
        <w:pStyle w:val="BodyText"/>
      </w:pPr>
      <w:r>
        <w:t xml:space="preserve">© 2025 Quantum Mathematics Consulting Co., Ltd. All rights reserved. Invoice TBM-2025-04782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Thailand Bangkok</dc:title>
  <dc:creator/>
  <dc:language>en</dc:language>
  <cp:keywords/>
  <dcterms:created xsi:type="dcterms:W3CDTF">2026-10-10T03:01:11Z</dcterms:created>
  <dcterms:modified xsi:type="dcterms:W3CDTF">2026-10-10T03:01:11Z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