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Mathematician</w:t>
      </w:r>
      <w:r>
        <w:t xml:space="preserve"> </w:t>
      </w:r>
      <w:r>
        <w:t xml:space="preserve">Consulting</w:t>
      </w:r>
      <w:r>
        <w:t xml:space="preserve"> </w:t>
      </w:r>
      <w:r>
        <w:t xml:space="preserve">Services</w:t>
      </w:r>
      <w:r>
        <w:t xml:space="preserve"> </w:t>
      </w:r>
      <w:r>
        <w:t xml:space="preserve">-</w:t>
      </w:r>
      <w:r>
        <w:t xml:space="preserve"> </w:t>
      </w:r>
      <w:r>
        <w:t xml:space="preserve">Istanbul,</w:t>
      </w:r>
      <w:r>
        <w:t xml:space="preserve"> </w:t>
      </w:r>
      <w:r>
        <w:t xml:space="preserve">Turkey</w:t>
      </w:r>
    </w:p>
    <w:bookmarkStart w:id="20" w:name="Xcdd987e15699079ea12114dd4bd41297844d69a"/>
    <w:p>
      <w:pPr>
        <w:pStyle w:val="Heading1"/>
      </w:pPr>
      <w:r>
        <w:t xml:space="preserve">Dr. Emre Kaya – Mathematician &amp; Quantitative Analyst</w:t>
      </w:r>
    </w:p>
    <w:p>
      <w:pPr>
        <w:pStyle w:val="FirstParagraph"/>
      </w:pPr>
      <w:r>
        <w:t xml:space="preserve">Advanced Mathematical Consulting Services</w:t>
      </w:r>
    </w:p>
    <w:p>
      <w:pPr>
        <w:pStyle w:val="BodyText"/>
      </w:pPr>
      <w:r>
        <w:t xml:space="preserve">Address: Nişantaşı, Abdi İpekçi Caddesi No: 42/7, Şişli, 34365 Istanbul, Turkey</w:t>
      </w:r>
    </w:p>
    <w:p>
      <w:pPr>
        <w:pStyle w:val="BodyText"/>
      </w:pPr>
      <w:r>
        <w:t xml:space="preserve">Tax ID (Vergi No): 1234567890</w:t>
      </w:r>
    </w:p>
    <w:p>
      <w:pPr>
        <w:pStyle w:val="BodyText"/>
      </w:pPr>
      <w:r>
        <w:t xml:space="preserve">VAT Number (VKN): 12345678901</w:t>
      </w:r>
    </w:p>
    <w:p>
      <w:pPr>
        <w:pStyle w:val="BodyText"/>
      </w:pPr>
      <w:r>
        <w:t xml:space="preserve">Email: emre.kaya@mathconsult-istanbul.com | Phone: +90 212 555 0147</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INV-2025-IST-00487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Country of Issue:</w:t>
      </w:r>
      <w:r>
        <w:t xml:space="preserve"> </w:t>
      </w:r>
      <w:r>
        <w:t xml:space="preserve">Turkey (Istanbul)</w:t>
      </w:r>
    </w:p>
    <w:p>
      <w:pPr>
        <w:pStyle w:val="BodyText"/>
      </w:pPr>
      <w:r>
        <w:t xml:space="preserve">VAT Registered – TR</w:t>
      </w:r>
    </w:p>
    <w:bookmarkEnd w:id="21"/>
    <w:bookmarkStart w:id="22" w:name="bill-to-client"/>
    <w:p>
      <w:pPr>
        <w:pStyle w:val="Heading3"/>
      </w:pPr>
      <w:r>
        <w:t xml:space="preserve">Bill To (Client)</w:t>
      </w:r>
    </w:p>
    <w:p>
      <w:pPr>
        <w:pStyle w:val="FirstParagraph"/>
      </w:pPr>
      <w:r>
        <w:rPr>
          <w:bCs/>
          <w:b/>
        </w:rPr>
        <w:t xml:space="preserve">Company:</w:t>
      </w:r>
      <w:r>
        <w:t xml:space="preserve"> </w:t>
      </w:r>
      <w:r>
        <w:t xml:space="preserve">Anatolia Financial Technologies A.Ş.</w:t>
      </w:r>
    </w:p>
    <w:p>
      <w:pPr>
        <w:pStyle w:val="BodyText"/>
      </w:pPr>
      <w:r>
        <w:rPr>
          <w:bCs/>
          <w:b/>
        </w:rPr>
        <w:t xml:space="preserve">Attention:</w:t>
      </w:r>
      <w:r>
        <w:t xml:space="preserve"> </w:t>
      </w:r>
      <w:r>
        <w:t xml:space="preserve">Ms. Selin Demir, Head of Quantitative Research</w:t>
      </w:r>
    </w:p>
    <w:p>
      <w:pPr>
        <w:pStyle w:val="BodyText"/>
      </w:pPr>
      <w:r>
        <w:rPr>
          <w:bCs/>
          <w:b/>
        </w:rPr>
        <w:t xml:space="preserve">Address:</w:t>
      </w:r>
      <w:r>
        <w:t xml:space="preserve"> </w:t>
      </w:r>
      <w:r>
        <w:t xml:space="preserve">Maslak, Büyükdere Caddesi No: 180, Kat 12, Sarıyer, 34480 Istanbul, Turkey</w:t>
      </w:r>
    </w:p>
    <w:p>
      <w:pPr>
        <w:pStyle w:val="BodyText"/>
      </w:pPr>
      <w:r>
        <w:rPr>
          <w:bCs/>
          <w:b/>
        </w:rPr>
        <w:t xml:space="preserve">Tax ID:</w:t>
      </w:r>
      <w:r>
        <w:t xml:space="preserve"> </w:t>
      </w:r>
      <w:r>
        <w:t xml:space="preserve">9876543210</w:t>
      </w:r>
    </w:p>
    <w:p>
      <w:pPr>
        <w:pStyle w:val="BodyText"/>
      </w:pPr>
      <w:r>
        <w:rPr>
          <w:bCs/>
          <w:b/>
        </w:rPr>
        <w:t xml:space="preserve">VAT Number:</w:t>
      </w:r>
      <w:r>
        <w:t xml:space="preserve"> </w:t>
      </w:r>
      <w:r>
        <w:t xml:space="preserve">98765432101</w:t>
      </w:r>
    </w:p>
    <w:p>
      <w:pPr>
        <w:pStyle w:val="BodyText"/>
      </w:pPr>
      <w:r>
        <w:rPr>
          <w:bCs/>
          <w:b/>
        </w:rPr>
        <w:t xml:space="preserve">Email:</w:t>
      </w:r>
      <w:r>
        <w:t xml:space="preserve"> </w:t>
      </w:r>
      <w:r>
        <w:t xml:space="preserve">s.demir@anatoliafin.com</w:t>
      </w:r>
    </w:p>
    <w:bookmarkEnd w:id="22"/>
    <w:bookmarkStart w:id="23" w:name="service-provider"/>
    <w:p>
      <w:pPr>
        <w:pStyle w:val="Heading3"/>
      </w:pPr>
      <w:r>
        <w:t xml:space="preserve">Service Provider</w:t>
      </w:r>
    </w:p>
    <w:p>
      <w:pPr>
        <w:pStyle w:val="FirstParagraph"/>
      </w:pPr>
      <w:r>
        <w:rPr>
          <w:bCs/>
          <w:b/>
        </w:rPr>
        <w:t xml:space="preserve">Name:</w:t>
      </w:r>
      <w:r>
        <w:t xml:space="preserve"> </w:t>
      </w:r>
      <w:r>
        <w:t xml:space="preserve">Dr. Emre Kaya, Ph.D. in Applied Mathematics</w:t>
      </w:r>
    </w:p>
    <w:p>
      <w:pPr>
        <w:pStyle w:val="BodyText"/>
      </w:pPr>
      <w:r>
        <w:rPr>
          <w:bCs/>
          <w:b/>
        </w:rPr>
        <w:t xml:space="preserve">Specialization:</w:t>
      </w:r>
      <w:r>
        <w:t xml:space="preserve"> </w:t>
      </w:r>
      <w:r>
        <w:t xml:space="preserve">Stochastic Calculus, Numerical Optimization, Cryptographic Mathematics</w:t>
      </w:r>
    </w:p>
    <w:p>
      <w:pPr>
        <w:pStyle w:val="BodyText"/>
      </w:pPr>
      <w:r>
        <w:rPr>
          <w:bCs/>
          <w:b/>
        </w:rPr>
        <w:t xml:space="preserve">Location:</w:t>
      </w:r>
      <w:r>
        <w:t xml:space="preserve"> </w:t>
      </w:r>
      <w:r>
        <w:t xml:space="preserve">Istanbul, Turkey</w:t>
      </w:r>
    </w:p>
    <w:p>
      <w:pPr>
        <w:pStyle w:val="BodyText"/>
      </w:pPr>
      <w:r>
        <w:rPr>
          <w:bCs/>
          <w:b/>
        </w:rPr>
        <w:t xml:space="preserve">Professional License:</w:t>
      </w:r>
      <w:r>
        <w:t xml:space="preserve"> </w:t>
      </w:r>
      <w:r>
        <w:t xml:space="preserve">TMMOB Member No. 45210</w:t>
      </w:r>
    </w:p>
    <w:p>
      <w:pPr>
        <w:pStyle w:val="BodyText"/>
      </w:pPr>
      <w:r>
        <w:rPr>
          <w:bCs/>
          <w:b/>
        </w:rPr>
        <w:t xml:space="preserve">Bank:</w:t>
      </w:r>
      <w:r>
        <w:t xml:space="preserve"> </w:t>
      </w:r>
      <w:r>
        <w:t xml:space="preserve">İş Bankası A.Ş., Istanbul Branch</w:t>
      </w:r>
    </w:p>
    <w:p>
      <w:pPr>
        <w:pStyle w:val="BodyText"/>
      </w:pPr>
      <w:r>
        <w:rPr>
          <w:bCs/>
          <w:b/>
        </w:rPr>
        <w:t xml:space="preserve">IBAN:</w:t>
      </w:r>
      <w:r>
        <w:t xml:space="preserve"> </w:t>
      </w:r>
      <w:r>
        <w:t xml:space="preserve">TR33 0006 4000 0011 2345 6789 01</w:t>
      </w:r>
    </w:p>
    <w:bookmarkEnd w:id="23"/>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No.</w:t>
            </w:r>
          </w:p>
        </w:tc>
        <w:tc>
          <w:tcPr/>
          <w:p>
            <w:pPr>
              <w:pStyle w:val="Compact"/>
              <w:jc w:val="left"/>
            </w:pPr>
            <w:r>
              <w:t xml:space="preserve">Description of Mathematical Services</w:t>
            </w:r>
          </w:p>
        </w:tc>
        <w:tc>
          <w:tcPr/>
          <w:p>
            <w:pPr>
              <w:pStyle w:val="Compact"/>
              <w:jc w:val="left"/>
            </w:pPr>
            <w:r>
              <w:t xml:space="preserve">Date Performed</w:t>
            </w:r>
          </w:p>
        </w:tc>
        <w:tc>
          <w:tcPr/>
          <w:p>
            <w:pPr>
              <w:pStyle w:val="Compact"/>
              <w:jc w:val="left"/>
            </w:pPr>
            <w:r>
              <w:t xml:space="preserve">Hours</w:t>
            </w:r>
          </w:p>
        </w:tc>
        <w:tc>
          <w:tcPr/>
          <w:p>
            <w:pPr>
              <w:pStyle w:val="Compact"/>
              <w:jc w:val="left"/>
            </w:pPr>
            <w:r>
              <w:t xml:space="preserve">Rate (TRY)</w:t>
            </w:r>
          </w:p>
        </w:tc>
        <w:tc>
          <w:tcPr/>
          <w:p>
            <w:pPr>
              <w:pStyle w:val="Compact"/>
              <w:jc w:val="left"/>
            </w:pPr>
            <w:r>
              <w:t xml:space="preserve">Amount (TRY)</w:t>
            </w:r>
          </w:p>
        </w:tc>
        <w:tc>
          <w:tcPr/>
          <w:p>
            <w:pPr>
              <w:pStyle w:val="Compact"/>
              <w:jc w:val="left"/>
            </w:pPr>
            <w:r>
              <w:t xml:space="preserve">VAT %</w:t>
            </w:r>
          </w:p>
        </w:tc>
      </w:tr>
      <w:tr>
        <w:tc>
          <w:tcPr/>
          <w:p>
            <w:pPr>
              <w:pStyle w:val="Compact"/>
              <w:jc w:val="left"/>
            </w:pPr>
            <w:r>
              <w:t xml:space="preserve">1</w:t>
            </w:r>
          </w:p>
        </w:tc>
        <w:tc>
          <w:tcPr/>
          <w:p>
            <w:pPr>
              <w:pStyle w:val="Compact"/>
              <w:jc w:val="left"/>
            </w:pPr>
            <w:r>
              <w:t xml:space="preserve">Design and implementation of a stochastic differential equation model for derivative pricing, including Monte Carlo simulation framework and sensitivity analysis. Delivered as a comprehensive mathematical report with Python codebase.</w:t>
            </w:r>
          </w:p>
        </w:tc>
        <w:tc>
          <w:tcPr/>
          <w:p>
            <w:pPr>
              <w:pStyle w:val="Compact"/>
              <w:jc w:val="left"/>
            </w:pPr>
            <w:r>
              <w:t xml:space="preserve">02 Jun 2025</w:t>
            </w:r>
          </w:p>
        </w:tc>
        <w:tc>
          <w:tcPr/>
          <w:p>
            <w:pPr>
              <w:pStyle w:val="Compact"/>
              <w:jc w:val="left"/>
            </w:pPr>
            <w:r>
              <w:t xml:space="preserve">24</w:t>
            </w:r>
          </w:p>
        </w:tc>
        <w:tc>
          <w:tcPr/>
          <w:p>
            <w:pPr>
              <w:pStyle w:val="Compact"/>
              <w:jc w:val="left"/>
            </w:pPr>
            <w:r>
              <w:t xml:space="preserve">2,800.00</w:t>
            </w:r>
          </w:p>
        </w:tc>
        <w:tc>
          <w:tcPr/>
          <w:p>
            <w:pPr>
              <w:pStyle w:val="Compact"/>
              <w:jc w:val="left"/>
            </w:pPr>
            <w:r>
              <w:t xml:space="preserve">67,200.00</w:t>
            </w:r>
          </w:p>
        </w:tc>
        <w:tc>
          <w:tcPr/>
          <w:p>
            <w:pPr>
              <w:pStyle w:val="Compact"/>
              <w:jc w:val="left"/>
            </w:pPr>
            <w:r>
              <w:t xml:space="preserve">20</w:t>
            </w:r>
          </w:p>
        </w:tc>
      </w:tr>
      <w:tr>
        <w:tc>
          <w:tcPr/>
          <w:p>
            <w:pPr>
              <w:pStyle w:val="Compact"/>
              <w:jc w:val="left"/>
            </w:pPr>
            <w:r>
              <w:t xml:space="preserve">2</w:t>
            </w:r>
          </w:p>
        </w:tc>
        <w:tc>
          <w:tcPr/>
          <w:p>
            <w:pPr>
              <w:pStyle w:val="Compact"/>
              <w:jc w:val="left"/>
            </w:pPr>
            <w:r>
              <w:t xml:space="preserve">Optimization of portfolio risk allocation using convex optimization techniques and Lagrangian duality. Includes derivation of closed-form solutions and numerical verification for 500-asset portfolios.</w:t>
            </w:r>
          </w:p>
        </w:tc>
        <w:tc>
          <w:tcPr/>
          <w:p>
            <w:pPr>
              <w:pStyle w:val="Compact"/>
              <w:jc w:val="left"/>
            </w:pPr>
            <w:r>
              <w:t xml:space="preserve">05 Jun 2025</w:t>
            </w:r>
          </w:p>
        </w:tc>
        <w:tc>
          <w:tcPr/>
          <w:p>
            <w:pPr>
              <w:pStyle w:val="Compact"/>
              <w:jc w:val="left"/>
            </w:pPr>
            <w:r>
              <w:t xml:space="preserve">16</w:t>
            </w:r>
          </w:p>
        </w:tc>
        <w:tc>
          <w:tcPr/>
          <w:p>
            <w:pPr>
              <w:pStyle w:val="Compact"/>
              <w:jc w:val="left"/>
            </w:pPr>
            <w:r>
              <w:t xml:space="preserve">2,800.00</w:t>
            </w:r>
          </w:p>
        </w:tc>
        <w:tc>
          <w:tcPr/>
          <w:p>
            <w:pPr>
              <w:pStyle w:val="Compact"/>
              <w:jc w:val="left"/>
            </w:pPr>
            <w:r>
              <w:t xml:space="preserve">44,800.00</w:t>
            </w:r>
          </w:p>
        </w:tc>
        <w:tc>
          <w:tcPr/>
          <w:p>
            <w:pPr>
              <w:pStyle w:val="Compact"/>
              <w:jc w:val="left"/>
            </w:pPr>
            <w:r>
              <w:t xml:space="preserve">20</w:t>
            </w:r>
          </w:p>
        </w:tc>
      </w:tr>
      <w:tr>
        <w:tc>
          <w:tcPr/>
          <w:p>
            <w:pPr>
              <w:pStyle w:val="Compact"/>
              <w:jc w:val="left"/>
            </w:pPr>
            <w:r>
              <w:t xml:space="preserve">3</w:t>
            </w:r>
          </w:p>
        </w:tc>
        <w:tc>
          <w:tcPr/>
          <w:p>
            <w:pPr>
              <w:pStyle w:val="Compact"/>
              <w:jc w:val="left"/>
            </w:pPr>
            <w:r>
              <w:t xml:space="preserve">Cryptographic protocol review: mathematical proof of security for elliptic curve-based key exchange mechanism. Formal verification using ZF set theory axioms and computational complexity analysis.</w:t>
            </w:r>
          </w:p>
        </w:tc>
        <w:tc>
          <w:tcPr/>
          <w:p>
            <w:pPr>
              <w:pStyle w:val="Compact"/>
              <w:jc w:val="left"/>
            </w:pPr>
            <w:r>
              <w:t xml:space="preserve">09 Jun 2025</w:t>
            </w:r>
          </w:p>
        </w:tc>
        <w:tc>
          <w:tcPr/>
          <w:p>
            <w:pPr>
              <w:pStyle w:val="Compact"/>
              <w:jc w:val="left"/>
            </w:pPr>
            <w:r>
              <w:t xml:space="preserve">20</w:t>
            </w:r>
          </w:p>
        </w:tc>
        <w:tc>
          <w:tcPr/>
          <w:p>
            <w:pPr>
              <w:pStyle w:val="Compact"/>
              <w:jc w:val="left"/>
            </w:pPr>
            <w:r>
              <w:t xml:space="preserve">3,200.00</w:t>
            </w:r>
          </w:p>
        </w:tc>
        <w:tc>
          <w:tcPr/>
          <w:p>
            <w:pPr>
              <w:pStyle w:val="Compact"/>
              <w:jc w:val="left"/>
            </w:pPr>
            <w:r>
              <w:t xml:space="preserve">64,000.00</w:t>
            </w:r>
          </w:p>
        </w:tc>
        <w:tc>
          <w:tcPr/>
          <w:p>
            <w:pPr>
              <w:pStyle w:val="Compact"/>
              <w:jc w:val="left"/>
            </w:pPr>
            <w:r>
              <w:t xml:space="preserve">20</w:t>
            </w:r>
          </w:p>
        </w:tc>
      </w:tr>
      <w:tr>
        <w:tc>
          <w:tcPr/>
          <w:p>
            <w:pPr>
              <w:pStyle w:val="Compact"/>
              <w:jc w:val="left"/>
            </w:pPr>
            <w:r>
              <w:t xml:space="preserve">4</w:t>
            </w:r>
          </w:p>
        </w:tc>
        <w:tc>
          <w:tcPr/>
          <w:p>
            <w:pPr>
              <w:pStyle w:val="Compact"/>
              <w:jc w:val="left"/>
            </w:pPr>
            <w:r>
              <w:t xml:space="preserve">On-site workshop (Istanbul, Maslak office) for the quantitative research team: advanced topics in functional analysis, Banach space theory, and their applications to machine learning model convergence proofs. Duration: 2 full days.</w:t>
            </w:r>
          </w:p>
        </w:tc>
        <w:tc>
          <w:tcPr/>
          <w:p>
            <w:pPr>
              <w:pStyle w:val="Compact"/>
              <w:jc w:val="left"/>
            </w:pPr>
            <w:r>
              <w:t xml:space="preserve">12 Jun 2025</w:t>
            </w:r>
          </w:p>
        </w:tc>
        <w:tc>
          <w:tcPr/>
          <w:p>
            <w:pPr>
              <w:pStyle w:val="Compact"/>
              <w:jc w:val="left"/>
            </w:pPr>
            <w:r>
              <w:t xml:space="preserve">16</w:t>
            </w:r>
          </w:p>
        </w:tc>
        <w:tc>
          <w:tcPr/>
          <w:p>
            <w:pPr>
              <w:pStyle w:val="Compact"/>
              <w:jc w:val="left"/>
            </w:pPr>
            <w:r>
              <w:t xml:space="preserve">3,500.00</w:t>
            </w:r>
          </w:p>
        </w:tc>
        <w:tc>
          <w:tcPr/>
          <w:p>
            <w:pPr>
              <w:pStyle w:val="Compact"/>
              <w:jc w:val="left"/>
            </w:pPr>
            <w:r>
              <w:t xml:space="preserve">56,000.00</w:t>
            </w:r>
          </w:p>
        </w:tc>
        <w:tc>
          <w:tcPr/>
          <w:p>
            <w:pPr>
              <w:pStyle w:val="Compact"/>
              <w:jc w:val="left"/>
            </w:pPr>
            <w:r>
              <w:t xml:space="preserve">20</w:t>
            </w:r>
          </w:p>
        </w:tc>
      </w:tr>
      <w:tr>
        <w:tc>
          <w:tcPr/>
          <w:p>
            <w:pPr>
              <w:pStyle w:val="Compact"/>
              <w:jc w:val="left"/>
            </w:pPr>
            <w:r>
              <w:t xml:space="preserve">5</w:t>
            </w:r>
          </w:p>
        </w:tc>
        <w:tc>
          <w:tcPr/>
          <w:p>
            <w:pPr>
              <w:pStyle w:val="Compact"/>
              <w:jc w:val="left"/>
            </w:pPr>
            <w:r>
              <w:t xml:space="preserve">Preparation of a peer-reviewed mathematical paper on topological data analysis for financial time series, to be submitted to a Q1 journal. Includes all derivations, proofs, and editorial revisions.</w:t>
            </w:r>
          </w:p>
        </w:tc>
        <w:tc>
          <w:tcPr/>
          <w:p>
            <w:pPr>
              <w:pStyle w:val="Compact"/>
              <w:jc w:val="left"/>
            </w:pPr>
            <w:r>
              <w:t xml:space="preserve">14 Jun 2025</w:t>
            </w:r>
          </w:p>
        </w:tc>
        <w:tc>
          <w:tcPr/>
          <w:p>
            <w:pPr>
              <w:pStyle w:val="Compact"/>
              <w:jc w:val="left"/>
            </w:pPr>
            <w:r>
              <w:t xml:space="preserve">32</w:t>
            </w:r>
          </w:p>
        </w:tc>
        <w:tc>
          <w:tcPr/>
          <w:p>
            <w:pPr>
              <w:pStyle w:val="Compact"/>
              <w:jc w:val="left"/>
            </w:pPr>
            <w:r>
              <w:t xml:space="preserve">2,500.00</w:t>
            </w:r>
          </w:p>
        </w:tc>
        <w:tc>
          <w:tcPr/>
          <w:p>
            <w:pPr>
              <w:pStyle w:val="Compact"/>
              <w:jc w:val="left"/>
            </w:pPr>
            <w:r>
              <w:t xml:space="preserve">80,000.00</w:t>
            </w:r>
          </w:p>
        </w:tc>
        <w:tc>
          <w:tcPr/>
          <w:p>
            <w:pPr>
              <w:pStyle w:val="Compact"/>
              <w:jc w:val="left"/>
            </w:pPr>
            <w:r>
              <w:t xml:space="preserve">20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(TRY)</w:t>
            </w:r>
          </w:p>
        </w:tc>
        <w:tc>
          <w:tcPr/>
          <w:p>
            <w:pPr>
              <w:pStyle w:val="Compact"/>
              <w:jc w:val="left"/>
            </w:pPr>
            <w:r>
              <w:t xml:space="preserve">312,000.00</w:t>
            </w:r>
          </w:p>
        </w:tc>
      </w:tr>
      <w:tr>
        <w:tc>
          <w:tcPr/>
          <w:p>
            <w:pPr>
              <w:pStyle w:val="Compact"/>
              <w:jc w:val="left"/>
            </w:pPr>
            <w:r>
              <w:t xml:space="preserve">VAT (KDV) – 20% (TRY)</w:t>
            </w:r>
          </w:p>
        </w:tc>
        <w:tc>
          <w:tcPr/>
          <w:p>
            <w:pPr>
              <w:pStyle w:val="Compact"/>
              <w:jc w:val="left"/>
            </w:pPr>
            <w:r>
              <w:t xml:space="preserve">62,400.00</w:t>
            </w:r>
          </w:p>
        </w:tc>
      </w:tr>
      <w:tr>
        <w:tc>
          <w:tcPr/>
          <w:p>
            <w:pPr>
              <w:pStyle w:val="Compact"/>
              <w:jc w:val="left"/>
            </w:pPr>
            <w:r>
              <w:t xml:space="preserve">Withholding Tax (Stopaj) – 20% (TRY)</w:t>
            </w:r>
          </w:p>
        </w:tc>
        <w:tc>
          <w:tcPr/>
          <w:p>
            <w:pPr>
              <w:pStyle w:val="Compact"/>
              <w:jc w:val="left"/>
            </w:pPr>
            <w:r>
              <w:t xml:space="preserve">-62,400.00</w:t>
            </w:r>
          </w:p>
        </w:tc>
      </w:tr>
      <w:tr>
        <w:tc>
          <w:tcPr/>
          <w:p>
            <w:pPr>
              <w:pStyle w:val="Compact"/>
              <w:jc w:val="left"/>
            </w:pPr>
            <w:r>
              <w:t xml:space="preserve">Net Payable Amount (TRY)</w:t>
            </w:r>
          </w:p>
        </w:tc>
        <w:tc>
          <w:tcPr/>
          <w:p>
            <w:pPr>
              <w:pStyle w:val="Compact"/>
              <w:jc w:val="left"/>
            </w:pPr>
            <w:r>
              <w:t xml:space="preserve">312,000.00</w:t>
            </w:r>
          </w:p>
        </w:tc>
      </w:tr>
    </w:tbl>
    <w:bookmarkStart w:id="24" w:name="notes-terms"/>
    <w:p>
      <w:pPr>
        <w:pStyle w:val="Heading3"/>
      </w:pPr>
      <w:r>
        <w:t xml:space="preserve">Notes &amp; Terms</w:t>
      </w:r>
    </w:p>
    <w:p>
      <w:pPr>
        <w:pStyle w:val="FirstParagraph"/>
      </w:pPr>
      <w:r>
        <w:t xml:space="preserve">1. This invoice is issued in accordance with the Turkish Commercial Code (Türk Ticaret Kanunu) and the General Communiqué on Accounting Standards (Muhasebe Uygulama Genel Tebliği) of the Republic of Turkey.</w:t>
      </w:r>
    </w:p>
    <w:p>
      <w:pPr>
        <w:pStyle w:val="BodyText"/>
      </w:pPr>
      <w:r>
        <w:t xml:space="preserve">2. All mathematical deliverables, including proofs, code, and reports, remain the intellectual property of the client upon full payment. The Mathematician retains the right to publish anonymized theoretical results in academic journals.</w:t>
      </w:r>
    </w:p>
    <w:p>
      <w:pPr>
        <w:pStyle w:val="BodyText"/>
      </w:pPr>
      <w:r>
        <w:t xml:space="preserve">3. Payment is due within 15 calendar days from the issue date via bank transfer to the IBAN specified above. Late payments shall accrue interest at the statutory rate determined by the Central Bank of the Republic of Turkey (TCMB).</w:t>
      </w:r>
    </w:p>
    <w:p>
      <w:pPr>
        <w:pStyle w:val="BodyText"/>
      </w:pPr>
      <w:r>
        <w:t xml:space="preserve">4. This invoice is valid for 30 days from the issue date. After this period, the invoice must be re-issued with updated tax calculations if applicable rates have changed.</w:t>
      </w:r>
    </w:p>
    <w:p>
      <w:pPr>
        <w:pStyle w:val="BodyText"/>
      </w:pPr>
      <w:r>
        <w:t xml:space="preserve">5. All services were performed in Istanbul, Turkey, and are subject to Turkish VAT (KDV) regulations. The 20% withholding tax (stopaj) has been applied as required for professional services rendered by a natural person in Turkey.</w:t>
      </w:r>
    </w:p>
    <w:p>
      <w:pPr>
        <w:pStyle w:val="BodyText"/>
      </w:pPr>
      <w:r>
        <w:t xml:space="preserve">6. For any disputes arising from this invoice, the courts of Istanbul, Turkey shall have exclusive jurisdiction.</w:t>
      </w:r>
    </w:p>
    <w:bookmarkEnd w:id="24"/>
    <w:bookmarkStart w:id="25" w:name="payment-instructions"/>
    <w:p>
      <w:pPr>
        <w:pStyle w:val="Heading3"/>
      </w:pPr>
      <w:r>
        <w:t xml:space="preserve">Payment Instructions</w:t>
      </w:r>
    </w:p>
    <w:p>
      <w:pPr>
        <w:pStyle w:val="FirstParagraph"/>
      </w:pPr>
      <w:r>
        <w:rPr>
          <w:bCs/>
          <w:b/>
        </w:rPr>
        <w:t xml:space="preserve">Beneficiary:</w:t>
      </w:r>
      <w:r>
        <w:t xml:space="preserve"> </w:t>
      </w:r>
      <w:r>
        <w:t xml:space="preserve">Dr. Emre Kaya</w:t>
      </w:r>
    </w:p>
    <w:p>
      <w:pPr>
        <w:pStyle w:val="BodyText"/>
      </w:pPr>
      <w:r>
        <w:rPr>
          <w:bCs/>
          <w:b/>
        </w:rPr>
        <w:t xml:space="preserve">Bank:</w:t>
      </w:r>
      <w:r>
        <w:t xml:space="preserve"> </w:t>
      </w:r>
      <w:r>
        <w:t xml:space="preserve">İş Bankası A.Ş. – Istanbul Şubesi</w:t>
      </w:r>
    </w:p>
    <w:p>
      <w:pPr>
        <w:pStyle w:val="BodyText"/>
      </w:pPr>
      <w:r>
        <w:rPr>
          <w:bCs/>
          <w:b/>
        </w:rPr>
        <w:t xml:space="preserve">IBAN:</w:t>
      </w:r>
      <w:r>
        <w:t xml:space="preserve"> </w:t>
      </w:r>
      <w:r>
        <w:t xml:space="preserve">TR33 0006 4000 0011 2345 6789 01</w:t>
      </w:r>
    </w:p>
    <w:p>
      <w:pPr>
        <w:pStyle w:val="BodyText"/>
      </w:pPr>
      <w:r>
        <w:rPr>
          <w:bCs/>
          <w:b/>
        </w:rPr>
        <w:t xml:space="preserve">SWIFT/BIC:</w:t>
      </w:r>
      <w:r>
        <w:t xml:space="preserve"> </w:t>
      </w:r>
      <w:r>
        <w:t xml:space="preserve">ISBA TR IS</w:t>
      </w:r>
    </w:p>
    <w:p>
      <w:pPr>
        <w:pStyle w:val="BodyText"/>
      </w:pPr>
      <w:r>
        <w:rPr>
          <w:bCs/>
          <w:b/>
        </w:rPr>
        <w:t xml:space="preserve">Reference:</w:t>
      </w:r>
      <w:r>
        <w:t xml:space="preserve"> </w:t>
      </w:r>
      <w:r>
        <w:t xml:space="preserve">INV-2025-IST-00487</w:t>
      </w:r>
    </w:p>
    <w:p>
      <w:pPr>
        <w:pStyle w:val="BodyText"/>
      </w:pPr>
      <w:r>
        <w:rPr>
          <w:bCs/>
          <w:b/>
        </w:rPr>
        <w:t xml:space="preserve">Payment Currency:</w:t>
      </w:r>
      <w:r>
        <w:t xml:space="preserve"> </w:t>
      </w:r>
      <w:r>
        <w:t xml:space="preserve">Turkish Lira (TRY / TL)</w:t>
      </w:r>
    </w:p>
    <w:p>
      <w:pPr>
        <w:pStyle w:val="BodyText"/>
      </w:pPr>
      <w:r>
        <w:rPr>
          <w:bCs/>
          <w:b/>
        </w:rPr>
        <w:t xml:space="preserve">Payment Method:</w:t>
      </w:r>
      <w:r>
        <w:t xml:space="preserve"> </w:t>
      </w:r>
      <w:r>
        <w:t xml:space="preserve">Bank Transfer (Havale / EFT)</w:t>
      </w:r>
    </w:p>
    <w:bookmarkEnd w:id="25"/>
    <w:p>
      <w:pPr>
        <w:pStyle w:val="BodyText"/>
      </w:pPr>
      <w:r>
        <w:t xml:space="preserve">Thank you for your business. This invoice was prepared and issued by Dr. Emre Kaya, Mathematician, in Istanbul, Turkey.</w:t>
      </w:r>
    </w:p>
    <w:p>
      <w:pPr>
        <w:pStyle w:val="BodyText"/>
      </w:pPr>
      <w:r>
        <w:t xml:space="preserve">Dr. Emre Kaya – Advanced Mathematical Consulting Services | Nişantaşı, Şişli, Istanbul 34365, Turkey</w:t>
      </w:r>
    </w:p>
    <w:p>
      <w:pPr>
        <w:pStyle w:val="BodyText"/>
      </w:pPr>
      <w:r>
        <w:t xml:space="preserve">Tax Office: Şişli Vergi Dairesi | Tax ID: 1234567890 | e-Arşiv Fatura No: 2025/00487</w:t>
      </w:r>
    </w:p>
    <w:p>
      <w:pPr>
        <w:pStyle w:val="BodyText"/>
      </w:pPr>
      <w:r>
        <w:t xml:space="preserve">This document is a valid electronic invoice (e-Fatura) in compliance with the Turkish Revenue Administration (Gelir İdaresi Başkanlığı) regulations.</w:t>
      </w:r>
    </w:p>
    <w:p>
      <w:pPr>
        <w:pStyle w:val="BodyText"/>
      </w:pPr>
      <w:r>
        <w:t xml:space="preserve">© 2025 Dr. Emre Kaya. All rights reserved. | Invoice generated on 15 June 2025 in Istanbul, Turkey.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Mathematician Consulting Services - Istanbul, Turkey</dc:title>
  <dc:creator/>
  <dc:language>en</dc:language>
  <cp:keywords/>
  <dcterms:created xsi:type="dcterms:W3CDTF">2026-10-10T03:08:14Z</dcterms:created>
  <dcterms:modified xsi:type="dcterms:W3CDTF">2026-10-10T03:08:14Z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