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dr.-khalid-al-mansouri"/>
    <w:p>
      <w:pPr>
        <w:pStyle w:val="Heading1"/>
      </w:pPr>
      <w:r>
        <w:t xml:space="preserve">Dr. Khalid Al Mansouri</w:t>
      </w:r>
    </w:p>
    <w:p>
      <w:pPr>
        <w:pStyle w:val="FirstParagraph"/>
      </w:pPr>
      <w:r>
        <w:t xml:space="preserve">Senior Mathematician &amp; Quantitative Analyst</w:t>
      </w:r>
    </w:p>
    <w:p>
      <w:pPr>
        <w:pStyle w:val="BodyText"/>
      </w:pPr>
      <w:r>
        <w:t xml:space="preserve">Al Reem Island, Corniche Road</w:t>
      </w:r>
    </w:p>
    <w:p>
      <w:pPr>
        <w:pStyle w:val="BodyText"/>
      </w:pPr>
      <w:r>
        <w:t xml:space="preserve">Abu Dhabi, United Arab Emirates</w:t>
      </w:r>
    </w:p>
    <w:p>
      <w:pPr>
        <w:pStyle w:val="BodyText"/>
      </w:pPr>
      <w:r>
        <w:t xml:space="preserve">Tel: +971 2 555 0147</w:t>
      </w:r>
    </w:p>
    <w:p>
      <w:pPr>
        <w:pStyle w:val="BodyText"/>
      </w:pPr>
      <w:r>
        <w:t xml:space="preserve">Email: k.almansouri@mathconsult.ae</w:t>
      </w:r>
    </w:p>
    <w:p>
      <w:pPr>
        <w:pStyle w:val="BodyText"/>
      </w:pPr>
      <w:r>
        <w:t xml:space="preserve">TRN: 100234567800003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VAT Registered</w:t>
      </w:r>
    </w:p>
    <w:bookmarkEnd w:id="21"/>
    <w:bookmarkStart w:id="22" w:name="bill-to"/>
    <w:p>
      <w:pPr>
        <w:pStyle w:val="Heading3"/>
      </w:pPr>
      <w:r>
        <w:t xml:space="preserve">Bill To</w:t>
      </w:r>
    </w:p>
    <w:p>
      <w:pPr>
        <w:pStyle w:val="FirstParagraph"/>
      </w:pPr>
      <w:r>
        <w:rPr>
          <w:bCs/>
          <w:b/>
        </w:rPr>
        <w:t xml:space="preserve">Abu Dhabi National Energy Company (ADNOC)</w:t>
      </w:r>
    </w:p>
    <w:p>
      <w:pPr>
        <w:pStyle w:val="BodyText"/>
      </w:pPr>
      <w:r>
        <w:t xml:space="preserve">Attn: Dr. Fatima Al Suwaidi</w:t>
      </w:r>
    </w:p>
    <w:p>
      <w:pPr>
        <w:pStyle w:val="BodyText"/>
      </w:pPr>
      <w:r>
        <w:t xml:space="preserve">Head of Research &amp; Development Division</w:t>
      </w:r>
    </w:p>
    <w:p>
      <w:pPr>
        <w:pStyle w:val="BodyText"/>
      </w:pPr>
      <w:r>
        <w:t xml:space="preserve">PO Box 12345, Al Dhafra</w:t>
      </w:r>
    </w:p>
    <w:p>
      <w:pPr>
        <w:pStyle w:val="BodyText"/>
      </w:pPr>
      <w:r>
        <w:t xml:space="preserve">Abu Dhabi, United Arab Emirates</w:t>
      </w:r>
    </w:p>
    <w:p>
      <w:pPr>
        <w:pStyle w:val="BodyText"/>
      </w:pPr>
      <w:r>
        <w:t xml:space="preserve">Tel: +971 2 400 0000</w:t>
      </w:r>
    </w:p>
    <w:p>
      <w:pPr>
        <w:pStyle w:val="BodyText"/>
      </w:pPr>
      <w:r>
        <w:t xml:space="preserve">Email: f.suwaidi@adnoc.ae</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Advanced Stochastic Modelling for Reservoir Optimization</w:t>
      </w:r>
    </w:p>
    <w:p>
      <w:pPr>
        <w:pStyle w:val="BodyText"/>
      </w:pPr>
      <w:r>
        <w:rPr>
          <w:bCs/>
          <w:b/>
        </w:rPr>
        <w:t xml:space="preserve">Contract No:</w:t>
      </w:r>
      <w:r>
        <w:t xml:space="preserve"> </w:t>
      </w:r>
      <w:r>
        <w:t xml:space="preserve">ADNOC-RD-2025-0891</w:t>
      </w:r>
    </w:p>
    <w:p>
      <w:pPr>
        <w:pStyle w:val="BodyText"/>
      </w:pPr>
      <w:r>
        <w:rPr>
          <w:bCs/>
          <w:b/>
        </w:rPr>
        <w:t xml:space="preserve">Phase:</w:t>
      </w:r>
      <w:r>
        <w:t xml:space="preserve"> </w:t>
      </w:r>
      <w:r>
        <w:t xml:space="preserve">Phase III – Final Deliverables</w:t>
      </w:r>
    </w:p>
    <w:p>
      <w:pPr>
        <w:pStyle w:val="BodyText"/>
      </w:pPr>
      <w:r>
        <w:rPr>
          <w:bCs/>
          <w:b/>
        </w:rPr>
        <w:t xml:space="preserve">Location:</w:t>
      </w:r>
      <w:r>
        <w:t xml:space="preserve"> </w:t>
      </w:r>
      <w:r>
        <w:t xml:space="preserve">Abu Dhabi, United Arab Emirates</w:t>
      </w:r>
    </w:p>
    <w:p>
      <w:pPr>
        <w:pStyle w:val="BodyText"/>
      </w:pPr>
      <w:r>
        <w:rPr>
          <w:bCs/>
          <w:b/>
        </w:rPr>
        <w:t xml:space="preserve">Duration:</w:t>
      </w:r>
      <w:r>
        <w:t xml:space="preserve"> </w:t>
      </w:r>
      <w:r>
        <w:t xml:space="preserve">January 2025 –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(AED)</w:t>
            </w:r>
          </w:p>
        </w:tc>
        <w:tc>
          <w:tcPr/>
          <w:p>
            <w:pPr>
              <w:pStyle w:val="Compact"/>
              <w:jc w:val="left"/>
            </w:pPr>
            <w:r>
              <w:t xml:space="preserve">Hours</w:t>
            </w:r>
          </w:p>
        </w:tc>
        <w:tc>
          <w:tcPr/>
          <w:p>
            <w:pPr>
              <w:pStyle w:val="Compact"/>
              <w:jc w:val="left"/>
            </w:pPr>
            <w:r>
              <w:t xml:space="preserve">Subtotal (AED)</w:t>
            </w:r>
          </w:p>
        </w:tc>
        <w:tc>
          <w:tcPr/>
          <w:p>
            <w:pPr>
              <w:pStyle w:val="Compact"/>
              <w:jc w:val="left"/>
            </w:pPr>
            <w:r>
              <w:t xml:space="preserve">VAT (5%)</w:t>
            </w:r>
          </w:p>
        </w:tc>
      </w:tr>
      <w:tr>
        <w:tc>
          <w:tcPr/>
          <w:p>
            <w:pPr>
              <w:pStyle w:val="Compact"/>
              <w:jc w:val="left"/>
            </w:pPr>
            <w:r>
              <w:t xml:space="preserve">1</w:t>
            </w:r>
          </w:p>
        </w:tc>
        <w:tc>
          <w:tcPr/>
          <w:p>
            <w:pPr>
              <w:pStyle w:val="Compact"/>
              <w:jc w:val="left"/>
            </w:pPr>
            <w:r>
              <w:t xml:space="preserve">Mathematical modelling and stochastic simulation design for oil reservoir flow optimization. Development of partial differential equation frameworks and Monte Carlo simulation protocols.</w:t>
            </w:r>
          </w:p>
        </w:tc>
        <w:tc>
          <w:tcPr/>
          <w:p>
            <w:pPr>
              <w:pStyle w:val="Compact"/>
              <w:jc w:val="left"/>
            </w:pPr>
            <w:r>
              <w:t xml:space="preserve">1,200.00</w:t>
            </w:r>
          </w:p>
        </w:tc>
        <w:tc>
          <w:tcPr/>
          <w:p>
            <w:pPr>
              <w:pStyle w:val="Compact"/>
              <w:jc w:val="left"/>
            </w:pPr>
            <w:r>
              <w:t xml:space="preserve">120</w:t>
            </w:r>
          </w:p>
        </w:tc>
        <w:tc>
          <w:tcPr/>
          <w:p>
            <w:pPr>
              <w:pStyle w:val="Compact"/>
              <w:jc w:val="left"/>
            </w:pPr>
            <w:r>
              <w:t xml:space="preserve">144,000.00</w:t>
            </w:r>
          </w:p>
        </w:tc>
        <w:tc>
          <w:tcPr/>
          <w:p>
            <w:pPr>
              <w:pStyle w:val="Compact"/>
              <w:jc w:val="left"/>
            </w:pPr>
            <w:r>
              <w:t xml:space="preserve">7,200.00</w:t>
            </w:r>
          </w:p>
        </w:tc>
      </w:tr>
      <w:tr>
        <w:tc>
          <w:tcPr/>
          <w:p>
            <w:pPr>
              <w:pStyle w:val="Compact"/>
              <w:jc w:val="left"/>
            </w:pPr>
            <w:r>
              <w:t xml:space="preserve">2</w:t>
            </w:r>
          </w:p>
        </w:tc>
        <w:tc>
          <w:tcPr/>
          <w:p>
            <w:pPr>
              <w:pStyle w:val="Compact"/>
              <w:jc w:val="left"/>
            </w:pPr>
            <w:r>
              <w:t xml:space="preserve">Statistical analysis and Bayesian inference implementation for production forecasting. Preparation of peer-reviewed technical documentation and mathematical proofs.</w:t>
            </w:r>
          </w:p>
        </w:tc>
        <w:tc>
          <w:tcPr/>
          <w:p>
            <w:pPr>
              <w:pStyle w:val="Compact"/>
              <w:jc w:val="left"/>
            </w:pPr>
            <w:r>
              <w:t xml:space="preserve">1,100.00</w:t>
            </w:r>
          </w:p>
        </w:tc>
        <w:tc>
          <w:tcPr/>
          <w:p>
            <w:pPr>
              <w:pStyle w:val="Compact"/>
              <w:jc w:val="left"/>
            </w:pPr>
            <w:r>
              <w:t xml:space="preserve">80</w:t>
            </w:r>
          </w:p>
        </w:tc>
        <w:tc>
          <w:tcPr/>
          <w:p>
            <w:pPr>
              <w:pStyle w:val="Compact"/>
              <w:jc w:val="left"/>
            </w:pPr>
            <w:r>
              <w:t xml:space="preserve">88,000.00</w:t>
            </w:r>
          </w:p>
        </w:tc>
        <w:tc>
          <w:tcPr/>
          <w:p>
            <w:pPr>
              <w:pStyle w:val="Compact"/>
              <w:jc w:val="left"/>
            </w:pPr>
            <w:r>
              <w:t xml:space="preserve">4,400.00</w:t>
            </w:r>
          </w:p>
        </w:tc>
      </w:tr>
      <w:tr>
        <w:tc>
          <w:tcPr/>
          <w:p>
            <w:pPr>
              <w:pStyle w:val="Compact"/>
              <w:jc w:val="left"/>
            </w:pPr>
            <w:r>
              <w:t xml:space="preserve">3</w:t>
            </w:r>
          </w:p>
        </w:tc>
        <w:tc>
          <w:tcPr/>
          <w:p>
            <w:pPr>
              <w:pStyle w:val="Compact"/>
              <w:jc w:val="left"/>
            </w:pPr>
            <w:r>
              <w:t xml:space="preserve">On-site consultation and workshop facilitation at ADNOC R&amp;D Centre, Abu Dhabi. Training of engineering staff on advanced numerical methods and optimization algorithms.</w:t>
            </w:r>
          </w:p>
        </w:tc>
        <w:tc>
          <w:tcPr/>
          <w:p>
            <w:pPr>
              <w:pStyle w:val="Compact"/>
              <w:jc w:val="left"/>
            </w:pPr>
            <w:r>
              <w:t xml:space="preserve">950.00</w:t>
            </w:r>
          </w:p>
        </w:tc>
        <w:tc>
          <w:tcPr/>
          <w:p>
            <w:pPr>
              <w:pStyle w:val="Compact"/>
              <w:jc w:val="left"/>
            </w:pPr>
            <w:r>
              <w:t xml:space="preserve">40</w:t>
            </w:r>
          </w:p>
        </w:tc>
        <w:tc>
          <w:tcPr/>
          <w:p>
            <w:pPr>
              <w:pStyle w:val="Compact"/>
              <w:jc w:val="left"/>
            </w:pPr>
            <w:r>
              <w:t xml:space="preserve">38,000.00</w:t>
            </w:r>
          </w:p>
        </w:tc>
        <w:tc>
          <w:tcPr/>
          <w:p>
            <w:pPr>
              <w:pStyle w:val="Compact"/>
              <w:jc w:val="left"/>
            </w:pPr>
            <w:r>
              <w:t xml:space="preserve">1,900.00</w:t>
            </w:r>
          </w:p>
        </w:tc>
      </w:tr>
      <w:tr>
        <w:tc>
          <w:tcPr/>
          <w:p>
            <w:pPr>
              <w:pStyle w:val="Compact"/>
              <w:jc w:val="left"/>
            </w:pPr>
            <w:r>
              <w:t xml:space="preserve">4</w:t>
            </w:r>
          </w:p>
        </w:tc>
        <w:tc>
          <w:tcPr/>
          <w:p>
            <w:pPr>
              <w:pStyle w:val="Compact"/>
              <w:jc w:val="left"/>
            </w:pPr>
            <w:r>
              <w:t xml:space="preserve">Delivery of final mathematical report, source code repository, and comprehensive technical appendix. Includes sensitivity analysis and risk quantification models.</w:t>
            </w:r>
          </w:p>
        </w:tc>
        <w:tc>
          <w:tcPr/>
          <w:p>
            <w:pPr>
              <w:pStyle w:val="Compact"/>
              <w:jc w:val="left"/>
            </w:pPr>
            <w:r>
              <w:t xml:space="preserve">1,500.00</w:t>
            </w:r>
          </w:p>
        </w:tc>
        <w:tc>
          <w:tcPr/>
          <w:p>
            <w:pPr>
              <w:pStyle w:val="Compact"/>
              <w:jc w:val="left"/>
            </w:pPr>
            <w:r>
              <w:t xml:space="preserve">60</w:t>
            </w:r>
          </w:p>
        </w:tc>
        <w:tc>
          <w:tcPr/>
          <w:p>
            <w:pPr>
              <w:pStyle w:val="Compact"/>
              <w:jc w:val="left"/>
            </w:pPr>
            <w:r>
              <w:t xml:space="preserve">90,000.00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Travel and accommodation expenses within Abu Dhabi, United Arab Emirates. Includes transportation to Al Dhafra site and lodging for on-site consultation periods.</w:t>
            </w:r>
          </w:p>
        </w:tc>
        <w:tc>
          <w:tcPr/>
          <w:p>
            <w:pPr>
              <w:pStyle w:val="Compact"/>
              <w:jc w:val="left"/>
            </w:pPr>
            <w:r>
              <w:t xml:space="preserve">—</w:t>
            </w:r>
          </w:p>
        </w:tc>
        <w:tc>
          <w:tcPr/>
          <w:p>
            <w:pPr>
              <w:pStyle w:val="Compact"/>
              <w:jc w:val="left"/>
            </w:pPr>
            <w:r>
              <w:t xml:space="preserve">—</w:t>
            </w:r>
          </w:p>
        </w:tc>
        <w:tc>
          <w:tcPr/>
          <w:p>
            <w:pPr>
              <w:pStyle w:val="Compact"/>
              <w:jc w:val="left"/>
            </w:pPr>
            <w:r>
              <w:t xml:space="preserve">12,500.00</w:t>
            </w:r>
          </w:p>
        </w:tc>
        <w:tc>
          <w:tcPr/>
          <w:p>
            <w:pPr>
              <w:pStyle w:val="Compact"/>
              <w:jc w:val="left"/>
            </w:pPr>
            <w:r>
              <w:t xml:space="preserve">625.00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372,500.00</w:t>
            </w:r>
          </w:p>
        </w:tc>
      </w:tr>
      <w:tr>
        <w:tc>
          <w:tcPr/>
          <w:p>
            <w:pPr>
              <w:pStyle w:val="Compact"/>
              <w:jc w:val="left"/>
            </w:pPr>
            <w:r>
              <w:t xml:space="preserve">VAT @ 5% (AED)</w:t>
            </w:r>
          </w:p>
        </w:tc>
        <w:tc>
          <w:tcPr/>
          <w:p>
            <w:pPr>
              <w:pStyle w:val="Compact"/>
              <w:jc w:val="left"/>
            </w:pPr>
            <w:r>
              <w:t xml:space="preserve">18,625.00</w:t>
            </w:r>
          </w:p>
        </w:tc>
      </w:tr>
      <w:tr>
        <w:tc>
          <w:tcPr/>
          <w:p>
            <w:pPr>
              <w:pStyle w:val="Compact"/>
              <w:jc w:val="left"/>
            </w:pPr>
            <w:r>
              <w:t xml:space="preserve">Discount (AED)</w:t>
            </w:r>
          </w:p>
        </w:tc>
        <w:tc>
          <w:tcPr/>
          <w:p>
            <w:pPr>
              <w:pStyle w:val="Compact"/>
              <w:jc w:val="left"/>
            </w:pPr>
            <w:r>
              <w:t xml:space="preserve">0.00</w:t>
            </w:r>
          </w:p>
        </w:tc>
      </w:tr>
      <w:tr>
        <w:tc>
          <w:tcPr/>
          <w:p>
            <w:pPr>
              <w:pStyle w:val="Compact"/>
              <w:jc w:val="left"/>
            </w:pPr>
            <w:r>
              <w:t xml:space="preserve">TOTAL AMOUNT DUE (AED)</w:t>
            </w:r>
          </w:p>
        </w:tc>
        <w:tc>
          <w:tcPr/>
          <w:p>
            <w:pPr>
              <w:pStyle w:val="Compact"/>
              <w:jc w:val="left"/>
            </w:pPr>
            <w:r>
              <w:t xml:space="preserve">391,125.00</w:t>
            </w:r>
          </w:p>
        </w:tc>
      </w:tr>
    </w:tbl>
    <w:bookmarkStart w:id="24" w:name="invoice-notes-terms"/>
    <w:p>
      <w:pPr>
        <w:pStyle w:val="Heading3"/>
      </w:pPr>
      <w:r>
        <w:t xml:space="preserve">Invoice Notes &amp; Terms</w:t>
      </w:r>
    </w:p>
    <w:p>
      <w:pPr>
        <w:pStyle w:val="FirstParagraph"/>
      </w:pPr>
      <w:r>
        <w:t xml:space="preserve">This Invoice is issued in accordance with the Federal Tax Authority regulations of the United Arab Emirates and the applicable commercial laws governing professional services in Abu Dhabi. The total amount of AED 391,125.00 (Three Hundred Ninety-One Thousand One Hundred Twenty-Five Dirhams) is due within fifteen (15) calendar days from the date of issue, as stipulated in the engagement contract between the Mathematician and the client.</w:t>
      </w:r>
    </w:p>
    <w:p>
      <w:pPr>
        <w:pStyle w:val="BodyText"/>
      </w:pPr>
      <w:r>
        <w:t xml:space="preserve">All mathematical deliverables, including but not limited to simulation code, analytical proofs, and technical reports, remain the intellectual property of the client upon full payment of this Invoice. The Mathematician retains the right to reference the project in academic publications with prior written consent from ADNOC.</w:t>
      </w:r>
    </w:p>
    <w:p>
      <w:pPr>
        <w:pStyle w:val="BodyText"/>
      </w:pPr>
      <w:r>
        <w:t xml:space="preserve">Any dispute arising from this Invoice shall be resolved through the courts of Abu Dhabi, United Arab Emirates, in accordance with the UAE Civil Transactions Law (Federal Law No. 5 of 1985) and the UAE Commercial Transactions Law (Federal Law No. 18 of 1993).</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Emirates NBD, Abu Dhabi Branch</w:t>
      </w:r>
    </w:p>
    <w:p>
      <w:pPr>
        <w:pStyle w:val="BodyText"/>
      </w:pPr>
      <w:r>
        <w:rPr>
          <w:bCs/>
          <w:b/>
        </w:rPr>
        <w:t xml:space="preserve">Account Name:</w:t>
      </w:r>
      <w:r>
        <w:t xml:space="preserve"> </w:t>
      </w:r>
      <w:r>
        <w:t xml:space="preserve">Dr. Khalid Al Mansouri – Mathematical Consulting LLC</w:t>
      </w:r>
    </w:p>
    <w:p>
      <w:pPr>
        <w:pStyle w:val="BodyText"/>
      </w:pPr>
      <w:r>
        <w:rPr>
          <w:bCs/>
          <w:b/>
        </w:rPr>
        <w:t xml:space="preserve">Account Number:</w:t>
      </w:r>
      <w:r>
        <w:t xml:space="preserve"> </w:t>
      </w:r>
      <w:r>
        <w:t xml:space="preserve">0012-3456-7890-1234</w:t>
      </w:r>
    </w:p>
    <w:p>
      <w:pPr>
        <w:pStyle w:val="BodyText"/>
      </w:pPr>
      <w:r>
        <w:rPr>
          <w:bCs/>
          <w:b/>
        </w:rPr>
        <w:t xml:space="preserve">IBAN:</w:t>
      </w:r>
      <w:r>
        <w:t xml:space="preserve"> </w:t>
      </w:r>
      <w:r>
        <w:t xml:space="preserve">AE0700123456789012345678</w:t>
      </w:r>
    </w:p>
    <w:p>
      <w:pPr>
        <w:pStyle w:val="BodyText"/>
      </w:pPr>
      <w:r>
        <w:rPr>
          <w:bCs/>
          <w:b/>
        </w:rPr>
        <w:t xml:space="preserve">SWIFT Code:</w:t>
      </w:r>
      <w:r>
        <w:t xml:space="preserve"> </w:t>
      </w:r>
      <w:r>
        <w:t xml:space="preserve">EMBAEADJ</w:t>
      </w:r>
    </w:p>
    <w:p>
      <w:pPr>
        <w:pStyle w:val="BodyText"/>
      </w:pPr>
      <w:r>
        <w:rPr>
          <w:bCs/>
          <w:b/>
        </w:rPr>
        <w:t xml:space="preserve">Reference:</w:t>
      </w:r>
      <w:r>
        <w:t xml:space="preserve"> </w:t>
      </w:r>
      <w:r>
        <w:t xml:space="preserve">Please quote Invoice No. INV-2025-0472 in all payment communications.</w:t>
      </w:r>
    </w:p>
    <w:bookmarkEnd w:id="25"/>
    <w:p>
      <w:pPr>
        <w:pStyle w:val="BodyText"/>
      </w:pPr>
      <w:r>
        <w:rPr>
          <w:bCs/>
          <w:b/>
        </w:rPr>
        <w:t xml:space="preserve">Dr. Khalid Al Mansouri – Mathematical Consulting LLC</w:t>
      </w:r>
    </w:p>
    <w:p>
      <w:pPr>
        <w:pStyle w:val="BodyText"/>
      </w:pPr>
      <w:r>
        <w:t xml:space="preserve">Registered in Abu Dhabi, United Arab Emirates | Trade License No. 100456789</w:t>
      </w:r>
    </w:p>
    <w:p>
      <w:pPr>
        <w:pStyle w:val="BodyText"/>
      </w:pPr>
      <w:r>
        <w:t xml:space="preserve">VAT Registration Number (TRN): 100234567800003</w:t>
      </w:r>
    </w:p>
    <w:p>
      <w:pPr>
        <w:pStyle w:val="BodyText"/>
      </w:pPr>
      <w:r>
        <w:t xml:space="preserve">This Invoice is valid for 90 days from the date of issue. Late payments shall incur a penalty of 2% per month as per UAE Federal Decree-Law No. 27 of 2022 on Late Payment Penalties.</w:t>
      </w:r>
    </w:p>
    <w:p>
      <w:pPr>
        <w:pStyle w:val="BodyText"/>
      </w:pPr>
      <w:r>
        <w:t xml:space="preserve">Thank you for your business. We appreciate the opportunity to serve your organization in Abu Dhabi, United Arab Emirates.</w:t>
      </w:r>
    </w:p>
    <w:p>
      <w:pPr>
        <w:pStyle w:val="BodyText"/>
      </w:pPr>
      <w:r>
        <w:t xml:space="preserve">© 2025 Dr. Khalid Al Mansouri – Mathematical Consulting LLC. All rights reserved. This document is a legally binding Invoice issued under UAE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United Arab Emirates Abu Dhabi</dc:title>
  <dc:creator/>
  <dc:language>en</dc:language>
  <cp:keywords/>
  <dcterms:created xsi:type="dcterms:W3CDTF">2026-10-10T04:16:58Z</dcterms:created>
  <dcterms:modified xsi:type="dcterms:W3CDTF">2026-10-10T04:16:58Z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