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voice"/>
    <w:p>
      <w:pPr>
        <w:pStyle w:val="Heading1"/>
      </w:pPr>
      <w:r>
        <w:t xml:space="preserve">INVOICE</w:t>
      </w:r>
    </w:p>
    <w:p>
      <w:pPr>
        <w:pStyle w:val="FirstParagraph"/>
      </w:pPr>
      <w:r>
        <w:t xml:space="preserve">Professional Mathematician Consulting Services</w:t>
      </w:r>
    </w:p>
    <w:p>
      <w:pPr>
        <w:pStyle w:val="BodyText"/>
      </w:pPr>
      <w:r>
        <w:t xml:space="preserve">UNITED ARAB EMIRATES DUBAI</w:t>
      </w:r>
    </w:p>
    <w:bookmarkEnd w:id="20"/>
    <w:p>
      <w:pPr>
        <w:pStyle w:val="BodyText"/>
      </w:pPr>
      <w:r>
        <w:rPr>
          <w:bCs/>
          <w:b/>
        </w:rPr>
        <w:t xml:space="preserve">Dr. Khalid Al-Mansouri, Ph.D.</w:t>
      </w:r>
      <w:r>
        <w:br/>
      </w:r>
      <w:r>
        <w:t xml:space="preserve">Senior Mathematician &amp; Quantitative Analyst</w:t>
      </w:r>
      <w:r>
        <w:br/>
      </w:r>
      <w:r>
        <w:t xml:space="preserve">Al Noor Mathematical Consulting LLC</w:t>
      </w:r>
      <w:r>
        <w:br/>
      </w:r>
      <w:r>
        <w:t xml:space="preserve">Level 32, Burj Khalifa, Downtown Dubai</w:t>
      </w:r>
      <w:r>
        <w:br/>
      </w:r>
      <w:r>
        <w:t xml:space="preserve">United Arab Emirates Dubai, P.O. Box 12847</w:t>
      </w:r>
      <w:r>
        <w:br/>
      </w:r>
      <w:r>
        <w:t xml:space="preserve">Tel: +971 4 555 0192</w:t>
      </w:r>
      <w:r>
        <w:br/>
      </w:r>
      <w:r>
        <w:t xml:space="preserve">Email: k.al-mansouri@alnoormath.ae</w:t>
      </w:r>
      <w:r>
        <w:br/>
      </w:r>
      <w:r>
        <w:t xml:space="preserve">TRN: 100234567800003</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INV-2025-DXB-0487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Emirates Financial Analytics Group</w:t>
      </w:r>
    </w:p>
    <w:p>
      <w:pPr>
        <w:pStyle w:val="BodyText"/>
      </w:pPr>
      <w:r>
        <w:t xml:space="preserve">Attn: Ms. Fatima Al-Rashid, CFO</w:t>
      </w:r>
    </w:p>
    <w:p>
      <w:pPr>
        <w:pStyle w:val="BodyText"/>
      </w:pPr>
      <w:r>
        <w:t xml:space="preserve">Level 18, Dubai Financial Centre</w:t>
      </w:r>
    </w:p>
    <w:p>
      <w:pPr>
        <w:pStyle w:val="BodyText"/>
      </w:pPr>
      <w:r>
        <w:t xml:space="preserve">United Arab Emirates Dubai, P.O. Box 45210</w:t>
      </w:r>
    </w:p>
    <w:p>
      <w:pPr>
        <w:pStyle w:val="BodyText"/>
      </w:pPr>
      <w:r>
        <w:t xml:space="preserve">Tel: +971 4 888 3321</w:t>
      </w:r>
    </w:p>
    <w:p>
      <w:pPr>
        <w:pStyle w:val="BodyText"/>
      </w:pPr>
      <w:r>
        <w:t xml:space="preserve">Email: f.alrashid@efag.ae</w:t>
      </w:r>
    </w:p>
    <w:bookmarkEnd w:id="22"/>
    <w:bookmarkStart w:id="23" w:name="project-reference"/>
    <w:p>
      <w:pPr>
        <w:pStyle w:val="Heading3"/>
      </w:pPr>
      <w:r>
        <w:t xml:space="preserve">Project Reference</w:t>
      </w:r>
    </w:p>
    <w:p>
      <w:pPr>
        <w:pStyle w:val="FirstParagraph"/>
      </w:pPr>
      <w:r>
        <w:rPr>
          <w:bCs/>
          <w:b/>
        </w:rPr>
        <w:t xml:space="preserve">Contract No:</w:t>
      </w:r>
      <w:r>
        <w:t xml:space="preserve"> </w:t>
      </w:r>
      <w:r>
        <w:t xml:space="preserve">EFG-MATH-2025-012</w:t>
      </w:r>
    </w:p>
    <w:p>
      <w:pPr>
        <w:pStyle w:val="BodyText"/>
      </w:pPr>
      <w:r>
        <w:rPr>
          <w:bCs/>
          <w:b/>
        </w:rPr>
        <w:t xml:space="preserve">Scope:</w:t>
      </w:r>
      <w:r>
        <w:t xml:space="preserve"> </w:t>
      </w:r>
      <w:r>
        <w:t xml:space="preserve">Advanced Mathematical Modelling</w:t>
      </w:r>
    </w:p>
    <w:p>
      <w:pPr>
        <w:pStyle w:val="BodyText"/>
      </w:pPr>
      <w:r>
        <w:rPr>
          <w:bCs/>
          <w:b/>
        </w:rPr>
        <w:t xml:space="preserve">Location:</w:t>
      </w:r>
      <w:r>
        <w:t xml:space="preserve"> </w:t>
      </w:r>
      <w:r>
        <w:t xml:space="preserve">United Arab Emirates Dubai</w:t>
      </w:r>
    </w:p>
    <w:p>
      <w:pPr>
        <w:pStyle w:val="BodyText"/>
      </w:pPr>
      <w:r>
        <w:rPr>
          <w:bCs/>
          <w:b/>
        </w:rPr>
        <w:t xml:space="preserve">Duration:</w:t>
      </w:r>
      <w:r>
        <w:t xml:space="preserve"> </w:t>
      </w:r>
      <w:r>
        <w:t xml:space="preserve">Q2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Stochastic modelling and risk assessment for portfolio optimisation. The Mathematician developed a comprehensive Monte Carlo simulation framework to evaluate downside risk across 2,400 asset classes for the client's institutional fund.</w:t>
            </w:r>
          </w:p>
        </w:tc>
        <w:tc>
          <w:tcPr/>
          <w:p>
            <w:pPr>
              <w:pStyle w:val="Compact"/>
              <w:jc w:val="left"/>
            </w:pPr>
            <w:r>
              <w:t xml:space="preserve">Technical Report &amp; Code</w:t>
            </w:r>
          </w:p>
        </w:tc>
        <w:tc>
          <w:tcPr/>
          <w:p>
            <w:pPr>
              <w:pStyle w:val="Compact"/>
              <w:jc w:val="left"/>
            </w:pPr>
            <w:r>
              <w:t xml:space="preserve">48</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Partial differential equation (PDE) formulation for heat-transfer analysis in the client's new data-centre cooling infrastructure located in United Arab Emirates Dubai. The Mathematician derived and validated the governing equations under boundary conditions specific to the Gulf climate.</w:t>
            </w:r>
          </w:p>
        </w:tc>
        <w:tc>
          <w:tcPr/>
          <w:p>
            <w:pPr>
              <w:pStyle w:val="Compact"/>
              <w:jc w:val="left"/>
            </w:pPr>
            <w:r>
              <w:t xml:space="preserve">Mathematical Model &amp; Validation</w:t>
            </w:r>
          </w:p>
        </w:tc>
        <w:tc>
          <w:tcPr/>
          <w:p>
            <w:pPr>
              <w:pStyle w:val="Compact"/>
              <w:jc w:val="left"/>
            </w:pPr>
            <w:r>
              <w:t xml:space="preserve">36</w:t>
            </w:r>
          </w:p>
        </w:tc>
        <w:tc>
          <w:tcPr/>
          <w:p>
            <w:pPr>
              <w:pStyle w:val="Compact"/>
              <w:jc w:val="left"/>
            </w:pPr>
            <w:r>
              <w:t xml:space="preserve">1,200.00</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Graph-theoretic network analysis for supply-chain resilience. The Mathematician constructed a weighted directed graph representing 340 logistics nodes across the UAE and identified single points of failure using min-cut algorithms.</w:t>
            </w:r>
          </w:p>
        </w:tc>
        <w:tc>
          <w:tcPr/>
          <w:p>
            <w:pPr>
              <w:pStyle w:val="Compact"/>
              <w:jc w:val="left"/>
            </w:pPr>
            <w:r>
              <w:t xml:space="preserve">Network Analysis Report</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Bayesian inference and Markov Chain Monte Carlo (MCMC) calibration for the client's actuarial pricing engine. The Mathematician designed the posterior distribution, selected appropriate priors, and verified convergence diagnostics.</w:t>
            </w:r>
          </w:p>
        </w:tc>
        <w:tc>
          <w:tcPr/>
          <w:p>
            <w:pPr>
              <w:pStyle w:val="Compact"/>
              <w:jc w:val="left"/>
            </w:pPr>
            <w:r>
              <w:t xml:space="preserve">Calibration Package</w:t>
            </w:r>
          </w:p>
        </w:tc>
        <w:tc>
          <w:tcPr/>
          <w:p>
            <w:pPr>
              <w:pStyle w:val="Compact"/>
              <w:jc w:val="left"/>
            </w:pPr>
            <w:r>
              <w:t xml:space="preserve">32</w:t>
            </w:r>
          </w:p>
        </w:tc>
        <w:tc>
          <w:tcPr/>
          <w:p>
            <w:pPr>
              <w:pStyle w:val="Compact"/>
              <w:jc w:val="left"/>
            </w:pPr>
            <w:r>
              <w:t xml:space="preserve">1,200.00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On-site workshop and knowledge transfer session (2 days) at the client's Dubai Financial Centre office. The Mathematician presented the full suite of models, walked the engineering and finance teams through the derivations, and provided hands-on training in Python and MATLAB implementation.</w:t>
            </w:r>
          </w:p>
        </w:tc>
        <w:tc>
          <w:tcPr/>
          <w:p>
            <w:pPr>
              <w:pStyle w:val="Compact"/>
              <w:jc w:val="left"/>
            </w:pPr>
            <w:r>
              <w:t xml:space="preserve">Workshop &amp; Training</w:t>
            </w:r>
          </w:p>
        </w:tc>
        <w:tc>
          <w:tcPr/>
          <w:p>
            <w:pPr>
              <w:pStyle w:val="Compact"/>
              <w:jc w:val="left"/>
            </w:pPr>
            <w:r>
              <w:t xml:space="preserve">16</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Peer-review and mathematical proof verification of the client's proprietary algorithm for real-time options pricing. The Mathematician identified two logical inconsistencies in the boundary-condition handling and provided corrected proofs.</w:t>
            </w:r>
          </w:p>
        </w:tc>
        <w:tc>
          <w:tcPr/>
          <w:p>
            <w:pPr>
              <w:pStyle w:val="Compact"/>
              <w:jc w:val="left"/>
            </w:pPr>
            <w:r>
              <w:t xml:space="preserve">Proof Verification Memo</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206,400.00</w:t>
            </w:r>
          </w:p>
        </w:tc>
      </w:tr>
      <w:tr>
        <w:tc>
          <w:tcPr/>
          <w:p>
            <w:pPr>
              <w:pStyle w:val="Compact"/>
              <w:jc w:val="left"/>
            </w:pPr>
            <w:r>
              <w:t xml:space="preserve">VAT @ 5% (United Arab Emirates)</w:t>
            </w:r>
          </w:p>
        </w:tc>
        <w:tc>
          <w:tcPr/>
          <w:p>
            <w:pPr>
              <w:pStyle w:val="Compact"/>
              <w:jc w:val="left"/>
            </w:pPr>
            <w:r>
              <w:t xml:space="preserve">AED 10,320.00</w:t>
            </w:r>
          </w:p>
        </w:tc>
      </w:tr>
      <w:tr>
        <w:tc>
          <w:tcPr/>
          <w:p>
            <w:pPr>
              <w:pStyle w:val="Compact"/>
              <w:jc w:val="left"/>
            </w:pPr>
            <w:r>
              <w:t xml:space="preserve">Applicable Withholding Tax</w:t>
            </w:r>
          </w:p>
        </w:tc>
        <w:tc>
          <w:tcPr/>
          <w:p>
            <w:pPr>
              <w:pStyle w:val="Compact"/>
              <w:jc w:val="left"/>
            </w:pPr>
            <w:r>
              <w:t xml:space="preserve">AED 0.00</w:t>
            </w:r>
          </w:p>
        </w:tc>
      </w:tr>
      <w:tr>
        <w:tc>
          <w:tcPr/>
          <w:p>
            <w:pPr>
              <w:pStyle w:val="Compact"/>
              <w:jc w:val="left"/>
            </w:pPr>
            <w:r>
              <w:t xml:space="preserve">Grand Total Due</w:t>
            </w:r>
          </w:p>
        </w:tc>
        <w:tc>
          <w:tcPr/>
          <w:p>
            <w:pPr>
              <w:pStyle w:val="Compact"/>
              <w:jc w:val="left"/>
            </w:pPr>
            <w:r>
              <w:t xml:space="preserve">AED 216,720.00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Emirates NBD, United Arab Emirates Dubai</w:t>
      </w:r>
    </w:p>
    <w:p>
      <w:pPr>
        <w:pStyle w:val="BodyText"/>
      </w:pPr>
      <w:r>
        <w:rPr>
          <w:bCs/>
          <w:b/>
        </w:rPr>
        <w:t xml:space="preserve">Account Name:</w:t>
      </w:r>
      <w:r>
        <w:t xml:space="preserve"> </w:t>
      </w:r>
      <w:r>
        <w:t xml:space="preserve">Al Noor Mathematical Consulting LLC</w:t>
      </w:r>
    </w:p>
    <w:p>
      <w:pPr>
        <w:pStyle w:val="BodyText"/>
      </w:pPr>
      <w:r>
        <w:rPr>
          <w:bCs/>
          <w:b/>
        </w:rPr>
        <w:t xml:space="preserve">IBAN:</w:t>
      </w:r>
      <w:r>
        <w:t xml:space="preserve"> </w:t>
      </w:r>
      <w:r>
        <w:t xml:space="preserve">AE07 0240 0000 0000 1234 5678 9</w:t>
      </w:r>
    </w:p>
    <w:p>
      <w:pPr>
        <w:pStyle w:val="BodyText"/>
      </w:pPr>
      <w:r>
        <w:rPr>
          <w:bCs/>
          <w:b/>
        </w:rPr>
        <w:t xml:space="preserve">SWIFT / BIC:</w:t>
      </w:r>
      <w:r>
        <w:t xml:space="preserve"> </w:t>
      </w:r>
      <w:r>
        <w:t xml:space="preserve">EMBA AE AD</w:t>
      </w:r>
    </w:p>
    <w:p>
      <w:pPr>
        <w:pStyle w:val="BodyText"/>
      </w:pPr>
      <w:r>
        <w:rPr>
          <w:bCs/>
          <w:b/>
        </w:rPr>
        <w:t xml:space="preserve">Reference:</w:t>
      </w:r>
      <w:r>
        <w:t xml:space="preserve"> </w:t>
      </w:r>
      <w:r>
        <w:t xml:space="preserve">Please quote Invoice Number INV-2025-DXB-0487 in all correspondence.</w:t>
      </w:r>
    </w:p>
    <w:p>
      <w:pPr>
        <w:pStyle w:val="BodyText"/>
      </w:pPr>
      <w:r>
        <w:rPr>
          <w:bCs/>
          <w:b/>
        </w:rPr>
        <w:t xml:space="preserve">Accepted Currencies:</w:t>
      </w:r>
      <w:r>
        <w:t xml:space="preserve"> </w:t>
      </w:r>
      <w:r>
        <w:t xml:space="preserve">AED (primary), USD, EUR. All amounts on this Invoice are denominated in United Arab Emirates Dirhams (AED).</w:t>
      </w:r>
    </w:p>
    <w:bookmarkEnd w:id="24"/>
    <w:bookmarkStart w:id="25" w:name="notes-terms"/>
    <w:p>
      <w:pPr>
        <w:pStyle w:val="Heading3"/>
      </w:pPr>
      <w:r>
        <w:t xml:space="preserve">Notes &amp; Terms</w:t>
      </w:r>
    </w:p>
    <w:p>
      <w:pPr>
        <w:pStyle w:val="FirstParagraph"/>
      </w:pPr>
      <w:r>
        <w:t xml:space="preserve">1. This Invoice is issued by a licensed Mathematician operating under the commercial registration of Al Noor Mathematical Consulting LLC, registered in United Arab Emirates Dubai under the Department of Economic Development (DED).</w:t>
      </w:r>
    </w:p>
    <w:p>
      <w:pPr>
        <w:pStyle w:val="BodyText"/>
      </w:pPr>
      <w:r>
        <w:t xml:space="preserve">2. All mathematical models, proofs, and code delivered under this engagement remain the intellectual property of the client upon full settlement of this Invoice. The Mathematician retains the right to reference the work in academic publications with prior written consent.</w:t>
      </w:r>
    </w:p>
    <w:p>
      <w:pPr>
        <w:pStyle w:val="BodyText"/>
      </w:pPr>
      <w:r>
        <w:t xml:space="preserve">3. Payment is due within fifteen (15) calendar days of the Invoice date. Late payments shall accrue interest at the rate of 1.5% per month, in accordance with the Federal Decree-Law No. 5 of 2012 on Commercial Transactions in the United Arab Emirates.</w:t>
      </w:r>
    </w:p>
    <w:p>
      <w:pPr>
        <w:pStyle w:val="BodyText"/>
      </w:pPr>
      <w:r>
        <w:t xml:space="preserve">4. This Invoice is subject to the 5% Value Added Tax (VAT) as mandated by the Federal Tax Authority of the United Arab Emirates. The client's TRN has been recorded for the purpose of input-tax credit claims.</w:t>
      </w:r>
    </w:p>
    <w:p>
      <w:pPr>
        <w:pStyle w:val="BodyText"/>
      </w:pPr>
      <w:r>
        <w:t xml:space="preserve">5. Any dispute arising from this Invoice shall be resolved through arbitration in Dubai under the rules of the Dubai International Arbitration Centre (DIAC).</w:t>
      </w:r>
    </w:p>
    <w:p>
      <w:pPr>
        <w:pStyle w:val="BodyText"/>
      </w:pPr>
      <w:r>
        <w:t xml:space="preserve">6. The Mathematician warrants that all derivations, numerical solutions, and analytical proofs provided are accurate to the best of professional mathematical standards and have been independently verified where applicable.</w:t>
      </w:r>
    </w:p>
    <w:bookmarkEnd w:id="25"/>
    <w:p>
      <w:pPr>
        <w:pStyle w:val="BodyText"/>
      </w:pPr>
      <w:r>
        <w:rPr>
          <w:bCs/>
          <w:b/>
        </w:rPr>
        <w:t xml:space="preserve">Al Noor Mathematical Consulting LLC</w:t>
      </w:r>
      <w:r>
        <w:t xml:space="preserve"> </w:t>
      </w:r>
      <w:r>
        <w:t xml:space="preserve">| United Arab Emirates Dubai | TRN: 100234567800003 | CR: 1045872</w:t>
      </w:r>
    </w:p>
    <w:p>
      <w:pPr>
        <w:pStyle w:val="BodyText"/>
      </w:pPr>
      <w:r>
        <w:t xml:space="preserve">This Invoice was generated electronically and is valid without a physical signature. For queries regarding this Invoice, please contact the issuing Mathematician at the address above.</w:t>
      </w:r>
    </w:p>
    <w:p>
      <w:pPr>
        <w:pStyle w:val="BodyText"/>
      </w:pPr>
      <w:r>
        <w:t xml:space="preserve">© 2025 Al Noor Mathematical Consulting LLC. All rights reserved. Invoice INV-2025-DXB-0487.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United Arab Emirates Dubai</dc:title>
  <dc:creator/>
  <dc:language>en</dc:language>
  <cp:keywords/>
  <dcterms:created xsi:type="dcterms:W3CDTF">2026-10-10T02:42:48Z</dcterms:created>
  <dcterms:modified xsi:type="dcterms:W3CDTF">2026-10-10T02:42:48Z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