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Mathematician Services</w:t>
      </w:r>
    </w:p>
    <w:bookmarkStart w:id="20" w:name="invoice-number"/>
    <w:p>
      <w:pPr>
        <w:pStyle w:val="Heading3"/>
      </w:pPr>
      <w:r>
        <w:t xml:space="preserve">Invoice Number:</w:t>
      </w:r>
    </w:p>
    <w:p>
      <w:pPr>
        <w:pStyle w:val="FirstParagraph"/>
      </w:pPr>
      <w:r>
        <w:t xml:space="preserve">INV-2025-LA-0487</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from-service-provider"/>
    <w:p>
      <w:pPr>
        <w:pStyle w:val="Heading4"/>
      </w:pPr>
      <w:r>
        <w:t xml:space="preserve">From (Service Provider)</w:t>
      </w:r>
    </w:p>
    <w:p>
      <w:pPr>
        <w:pStyle w:val="FirstParagraph"/>
      </w:pPr>
      <w:r>
        <w:rPr>
          <w:bCs/>
          <w:b/>
        </w:rPr>
        <w:t xml:space="preserve">Dr. Eleanor V. Hartwell, Ph.D.</w:t>
      </w:r>
    </w:p>
    <w:p>
      <w:pPr>
        <w:pStyle w:val="BodyText"/>
      </w:pPr>
      <w:r>
        <w:t xml:space="preserve">Senior Mathematician &amp; Quantitative Analyst</w:t>
      </w:r>
    </w:p>
    <w:p>
      <w:pPr>
        <w:pStyle w:val="BodyText"/>
      </w:pPr>
      <w:r>
        <w:t xml:space="preserve">Hartwell Mathematical Consulting</w:t>
      </w:r>
    </w:p>
    <w:p>
      <w:pPr>
        <w:pStyle w:val="BodyText"/>
      </w:pPr>
      <w:r>
        <w:t xml:space="preserve">4720 Wilshire Boulevard, Suite 1200</w:t>
      </w:r>
    </w:p>
    <w:p>
      <w:pPr>
        <w:pStyle w:val="BodyText"/>
      </w:pPr>
      <w:r>
        <w:t xml:space="preserve">Los Angeles, California 90016</w:t>
      </w:r>
    </w:p>
    <w:p>
      <w:pPr>
        <w:pStyle w:val="BodyText"/>
      </w:pPr>
      <w:r>
        <w:t xml:space="preserve">United States</w:t>
      </w:r>
    </w:p>
    <w:p>
      <w:pPr>
        <w:pStyle w:val="BodyText"/>
      </w:pPr>
      <w:r>
        <w:t xml:space="preserve">Tel: (213) 555-0147</w:t>
      </w:r>
    </w:p>
    <w:p>
      <w:pPr>
        <w:pStyle w:val="BodyText"/>
      </w:pPr>
      <w:r>
        <w:t xml:space="preserve">Email: e.hartwell@hartwellmath.com</w:t>
      </w:r>
    </w:p>
    <w:p>
      <w:pPr>
        <w:pStyle w:val="BodyText"/>
      </w:pPr>
      <w:r>
        <w:t xml:space="preserve">CA Business License: #CA-2019-884321</w:t>
      </w:r>
    </w:p>
    <w:bookmarkEnd w:id="23"/>
    <w:bookmarkStart w:id="24" w:name="billed-to-client"/>
    <w:p>
      <w:pPr>
        <w:pStyle w:val="Heading4"/>
      </w:pPr>
      <w:r>
        <w:t xml:space="preserve">Billed To (Client)</w:t>
      </w:r>
    </w:p>
    <w:p>
      <w:pPr>
        <w:pStyle w:val="FirstParagraph"/>
      </w:pPr>
      <w:r>
        <w:rPr>
          <w:bCs/>
          <w:b/>
        </w:rPr>
        <w:t xml:space="preserve">Pacific Meridian Technologies, Inc.</w:t>
      </w:r>
    </w:p>
    <w:p>
      <w:pPr>
        <w:pStyle w:val="BodyText"/>
      </w:pPr>
      <w:r>
        <w:t xml:space="preserve">Attn: Mr. David Chen, VP of Engineering</w:t>
      </w:r>
    </w:p>
    <w:p>
      <w:pPr>
        <w:pStyle w:val="BodyText"/>
      </w:pPr>
      <w:r>
        <w:t xml:space="preserve">8888 West Olympic Boulevard</w:t>
      </w:r>
    </w:p>
    <w:p>
      <w:pPr>
        <w:pStyle w:val="BodyText"/>
      </w:pPr>
      <w:r>
        <w:t xml:space="preserve">Los Angeles, California 90068</w:t>
      </w:r>
    </w:p>
    <w:p>
      <w:pPr>
        <w:pStyle w:val="BodyText"/>
      </w:pPr>
      <w:r>
        <w:t xml:space="preserve">United States</w:t>
      </w:r>
    </w:p>
    <w:p>
      <w:pPr>
        <w:pStyle w:val="BodyText"/>
      </w:pPr>
      <w:r>
        <w:t xml:space="preserve">Tel: (310) 555-0293</w:t>
      </w:r>
    </w:p>
    <w:p>
      <w:pPr>
        <w:pStyle w:val="BodyText"/>
      </w:pPr>
      <w:r>
        <w:t xml:space="preserve">Email: d.chen@pacificmeridian.com</w:t>
      </w:r>
    </w:p>
    <w:p>
      <w:pPr>
        <w:pStyle w:val="BodyText"/>
      </w:pPr>
      <w:r>
        <w:t xml:space="preserve">Client Reference: PMT-2025-Q2-0034</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Advanced Algorithmic Design &amp; Optimization</w:t>
            </w:r>
          </w:p>
          <w:p>
            <w:pPr>
              <w:jc w:val="left"/>
            </w:pPr>
            <w:r>
              <w:t xml:space="preserve">Development of novel combinatorial optimization algorithms for the client's logistics network. The Mathematician provided rigorous proof of convergence, complexity analysis, and implementation guidance for a multi-objective integer programming framework tailored to the United States Los Angeles metropolitan distribution system.</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rPr>
                <w:bCs/>
                <w:b/>
              </w:rPr>
              <w:t xml:space="preserve">Stochastic Modeling &amp; Risk Analysis</w:t>
            </w:r>
          </w:p>
          <w:p>
            <w:pPr>
              <w:jc w:val="left"/>
            </w:pPr>
            <w:r>
              <w:t xml:space="preserve">Construction of a Monte Carlo simulation framework incorporating Bayesian inference for financial risk assessment. The Mathematician derived closed-form solutions for the underlying probability distributions and validated the model against historical market data spanning the Pacific Meridian portfolio.</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Partial Differential Equation (PDE) Consulting</w:t>
            </w:r>
          </w:p>
          <w:p>
            <w:pPr>
              <w:jc w:val="left"/>
            </w:pPr>
            <w:r>
              <w:t xml:space="preserve">Mathematical modeling of heat transfer and fluid dynamics for the client's thermal management systems. The Mathematician formulated the governing PDEs, established boundary conditions specific to the United States Los Angeles climate parameters, and provided analytical and numerical solution strategies.</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4</w:t>
            </w:r>
          </w:p>
        </w:tc>
        <w:tc>
          <w:tcPr/>
          <w:p>
            <w:pPr>
              <w:pStyle w:val="Compact"/>
              <w:jc w:val="left"/>
            </w:pPr>
            <w:r>
              <w:rPr>
                <w:bCs/>
                <w:b/>
              </w:rPr>
              <w:t xml:space="preserve">Peer Review &amp; Technical Documentation</w:t>
            </w:r>
          </w:p>
          <w:p>
            <w:pPr>
              <w:jc w:val="left"/>
            </w:pPr>
            <w:r>
              <w:t xml:space="preserve">Comprehensive review of the client's internal mathematical documentation, including verification of derivations, identification of logical inconsistencies, and preparation of a formal technical report suitable for regulatory submission. The Mathematician ensured all mathematical notation and proofs met publication-grade standards.</w:t>
            </w:r>
          </w:p>
        </w:tc>
        <w:tc>
          <w:tcPr/>
          <w:p>
            <w:pPr>
              <w:pStyle w:val="Compact"/>
              <w:jc w:val="left"/>
            </w:pPr>
            <w:r>
              <w:t xml:space="preserve">June 9 – June 13, 2025</w:t>
            </w:r>
          </w:p>
        </w:tc>
        <w:tc>
          <w:tcPr/>
          <w:p>
            <w:pPr>
              <w:pStyle w:val="Compact"/>
              <w:jc w:val="left"/>
            </w:pPr>
            <w:r>
              <w:t xml:space="preserve">16</w:t>
            </w:r>
          </w:p>
        </w:tc>
        <w:tc>
          <w:tcPr/>
          <w:p>
            <w:pPr>
              <w:pStyle w:val="Compact"/>
              <w:jc w:val="left"/>
            </w:pPr>
            <w:r>
              <w:t xml:space="preserve">$275.00</w:t>
            </w:r>
          </w:p>
        </w:tc>
        <w:tc>
          <w:tcPr/>
          <w:p>
            <w:pPr>
              <w:pStyle w:val="Compact"/>
              <w:jc w:val="left"/>
            </w:pPr>
            <w:r>
              <w:t xml:space="preserve">$4,400.00</w:t>
            </w:r>
          </w:p>
        </w:tc>
      </w:tr>
      <w:tr>
        <w:tc>
          <w:tcPr/>
          <w:p>
            <w:pPr>
              <w:pStyle w:val="Compact"/>
              <w:jc w:val="left"/>
            </w:pPr>
            <w:r>
              <w:t xml:space="preserve">5</w:t>
            </w:r>
          </w:p>
        </w:tc>
        <w:tc>
          <w:tcPr/>
          <w:p>
            <w:pPr>
              <w:pStyle w:val="Compact"/>
              <w:jc w:val="left"/>
            </w:pPr>
            <w:r>
              <w:rPr>
                <w:bCs/>
                <w:b/>
              </w:rPr>
              <w:t xml:space="preserve">On-Site Workshop: Applied Mathematics for Engineering Teams</w:t>
            </w:r>
          </w:p>
          <w:p>
            <w:pPr>
              <w:jc w:val="left"/>
            </w:pPr>
            <w:r>
              <w:t xml:space="preserve">A two-day intensive workshop held at the client's Los Angeles, United States headquarters. The Mathematician delivered lectures on tensor calculus, spectral methods, and numerical linear algebra, with hands-on problem-solving sessions for a team of twenty-two engineers.</w:t>
            </w:r>
          </w:p>
        </w:tc>
        <w:tc>
          <w:tcPr/>
          <w:p>
            <w:pPr>
              <w:pStyle w:val="Compact"/>
              <w:jc w:val="left"/>
            </w:pPr>
            <w:r>
              <w:t xml:space="preserve">June 11 – June 12, 2025</w:t>
            </w:r>
          </w:p>
        </w:tc>
        <w:tc>
          <w:tcPr/>
          <w:p>
            <w:pPr>
              <w:pStyle w:val="Compact"/>
              <w:jc w:val="left"/>
            </w:pPr>
            <w:r>
              <w:t xml:space="preserve">16</w:t>
            </w:r>
          </w:p>
        </w:tc>
        <w:tc>
          <w:tcPr/>
          <w:p>
            <w:pPr>
              <w:pStyle w:val="Compact"/>
              <w:jc w:val="left"/>
            </w:pPr>
            <w:r>
              <w:t xml:space="preserve">$325.00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$39,300.00</w:t>
            </w:r>
          </w:p>
        </w:tc>
      </w:tr>
      <w:tr>
        <w:tc>
          <w:tcPr/>
          <w:p>
            <w:pPr>
              <w:pStyle w:val="Compact"/>
              <w:jc w:val="left"/>
            </w:pPr>
            <w:r>
              <w:t xml:space="preserve">Applicable Discount (5% – Contractual)</w:t>
            </w:r>
          </w:p>
        </w:tc>
        <w:tc>
          <w:tcPr/>
          <w:p>
            <w:pPr>
              <w:pStyle w:val="Compact"/>
              <w:jc w:val="right"/>
            </w:pPr>
            <w:r>
              <w:t xml:space="preserve">-$1,965.00</w:t>
            </w:r>
          </w:p>
        </w:tc>
      </w:tr>
      <w:tr>
        <w:tc>
          <w:tcPr/>
          <w:p>
            <w:pPr>
              <w:pStyle w:val="Compact"/>
              <w:jc w:val="left"/>
            </w:pPr>
            <w:r>
              <w:t xml:space="preserve">Adjusted Subtotal</w:t>
            </w:r>
          </w:p>
        </w:tc>
        <w:tc>
          <w:tcPr/>
          <w:p>
            <w:pPr>
              <w:pStyle w:val="Compact"/>
              <w:jc w:val="right"/>
            </w:pPr>
            <w:r>
              <w:t xml:space="preserve">$37,335.00</w:t>
            </w:r>
          </w:p>
        </w:tc>
      </w:tr>
      <w:tr>
        <w:tc>
          <w:tcPr/>
          <w:p>
            <w:pPr>
              <w:pStyle w:val="Compact"/>
              <w:jc w:val="left"/>
            </w:pPr>
            <w:r>
              <w:t xml:space="preserve">California State Sales Tax (8.75%)</w:t>
            </w:r>
          </w:p>
        </w:tc>
        <w:tc>
          <w:tcPr/>
          <w:p>
            <w:pPr>
              <w:pStyle w:val="Compact"/>
              <w:jc w:val="right"/>
            </w:pPr>
            <w:r>
              <w:t xml:space="preserve">$3,266.81</w:t>
            </w:r>
          </w:p>
        </w:tc>
      </w:tr>
      <w:tr>
        <w:tc>
          <w:tcPr/>
          <w:p>
            <w:pPr>
              <w:pStyle w:val="Compact"/>
              <w:jc w:val="left"/>
            </w:pPr>
            <w:r>
              <w:t xml:space="preserve">Los Angeles County Tax (0.30%)</w:t>
            </w:r>
          </w:p>
        </w:tc>
        <w:tc>
          <w:tcPr/>
          <w:p>
            <w:pPr>
              <w:pStyle w:val="Compact"/>
              <w:jc w:val="right"/>
            </w:pPr>
            <w:r>
              <w:t xml:space="preserve">$112.01</w:t>
            </w:r>
          </w:p>
        </w:tc>
      </w:tr>
      <w:tr>
        <w:tc>
          <w:tcPr/>
          <w:p>
            <w:pPr>
              <w:pStyle w:val="Compact"/>
              <w:jc w:val="left"/>
            </w:pPr>
            <w:r>
              <w:t xml:space="preserve">United States Federal Withholding (N/A – 1099)</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$40,713.82</w:t>
            </w:r>
          </w:p>
        </w:tc>
      </w:tr>
    </w:tbl>
    <w:p>
      <w:pPr>
        <w:pStyle w:val="BodyText"/>
      </w:pPr>
      <w:r>
        <w:rPr>
          <w:bCs/>
          <w:b/>
        </w:rPr>
        <w:t xml:space="preserve">Payment Terms:</w:t>
      </w:r>
      <w:r>
        <w:t xml:space="preserve"> </w:t>
      </w:r>
      <w:r>
        <w:t xml:space="preserve">This Invoice is payable within thirty (30) days of the Invoice date, no later than July 15, 2025. Payment may be made via wire transfer to Hartwell Mathematical Consulting, Bank of America, Account ending in 7742, Routing: 121000358, or by check mailed to the address listed above. Late payments are subject to a 1.5% monthly interest charge as permitted under California Commercial Code Section 2201. Please reference Invoice Number INV-2025-LA-0487 on all correspondence and remittances.</w:t>
      </w:r>
    </w:p>
    <w:bookmarkStart w:id="25" w:name="additional-notes-terms-of-service"/>
    <w:p>
      <w:pPr>
        <w:pStyle w:val="Heading4"/>
      </w:pPr>
      <w:r>
        <w:t xml:space="preserve">Additional Notes &amp; Terms of Service</w:t>
      </w:r>
    </w:p>
    <w:p>
      <w:pPr>
        <w:pStyle w:val="FirstParagraph"/>
      </w:pPr>
      <w:r>
        <w:t xml:space="preserve">This Invoice represents the final and complete billing for all Mathematician services rendered to Pacific Meridian Technologies, Inc. during the period of May 5, 2025, through June 13, 2025, in accordance with the Master Services Agreement (MSA) dated January 10, 2025, executed in Los Angeles, United States. All mathematical work product, including but not limited to proofs, derivations, algorithmic specifications, simulation code, and technical reports, shall become the exclusive intellectual property of the client upon full payment of this Invoice.</w:t>
      </w:r>
    </w:p>
    <w:p>
      <w:pPr>
        <w:pStyle w:val="BodyText"/>
      </w:pPr>
      <w:r>
        <w:t xml:space="preserve">The Mathematician, Dr. Eleanor V. Hartwell, warrants that all services were performed with the degree of skill, care, and diligence expected of a licensed professional mathematician operating in the state of California. All computations have been independently verified, and all proofs have undergone internal peer review prior to delivery. The client acknowledges that the mathematical models provided are subject to the assumptions and boundary conditions explicitly stated in the accompanying technical documentation.</w:t>
      </w:r>
    </w:p>
    <w:p>
      <w:pPr>
        <w:pStyle w:val="BodyText"/>
      </w:pPr>
      <w:r>
        <w:t xml:space="preserve">This Invoice is governed by the laws of the State of California and the federal laws of the United States. Any disputes arising from this Invoice or the underlying services shall be resolved through binding arbitration in Los Angeles, California, in accordance with the rules of the American Arbitration Association. The Mathematician reserves the right to withhold further services until all outstanding balances on this Invoice are settled in full.</w:t>
      </w:r>
    </w:p>
    <w:p>
      <w:pPr>
        <w:pStyle w:val="BodyText"/>
      </w:pPr>
      <w:r>
        <w:t xml:space="preserve">For questions regarding this Invoice, please contact the undersigned Mathematician directly at the phone number or email address provided above. A copy of this Invoice has been filed with the Hartwell Mathematical Consulting records office in Los Angeles, United States, and is available for audit upon reasonable written request.</w:t>
      </w:r>
    </w:p>
    <w:bookmarkEnd w:id="25"/>
    <w:p>
      <w:pPr>
        <w:pStyle w:val="BodyText"/>
      </w:pPr>
      <w:r>
        <w:rPr>
          <w:bCs/>
          <w:b/>
        </w:rPr>
        <w:t xml:space="preserve">Hartwell Mathematical Consulting</w:t>
      </w:r>
      <w:r>
        <w:t xml:space="preserve"> </w:t>
      </w:r>
      <w:r>
        <w:t xml:space="preserve">| 4720 Wilshire Boulevard, Suite 1200, Los Angeles, CA 90016, United States</w:t>
      </w:r>
    </w:p>
    <w:p>
      <w:pPr>
        <w:pStyle w:val="BodyText"/>
      </w:pPr>
      <w:r>
        <w:t xml:space="preserve">CA Business License #CA-2019-884321 | EIN: 84-2937461 | Professional Mathematician Services</w:t>
      </w:r>
    </w:p>
    <w:p>
      <w:pPr>
        <w:pStyle w:val="BodyText"/>
      </w:pPr>
      <w:r>
        <w:t xml:space="preserve">This Invoice was generated electronically and is valid without a physical signature. Thank you for your business.</w:t>
      </w:r>
    </w:p>
    <w:p>
      <w:pPr>
        <w:pStyle w:val="BodyText"/>
      </w:pPr>
      <w:r>
        <w:t xml:space="preserve">© 2025 Hartwell Mathematical Consulting. All rights reserved. Invoice INV-2025-LA-0487.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United States Los Angeles</dc:title>
  <dc:creator/>
  <dc:language>en</dc:language>
  <cp:keywords/>
  <dcterms:created xsi:type="dcterms:W3CDTF">2026-10-10T03:50:49Z</dcterms:created>
  <dcterms:modified xsi:type="dcterms:W3CDTF">2026-10-10T03:50:49Z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