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Professional Mathematician Consulting Services</w:t>
      </w:r>
    </w:p>
    <w:p>
      <w:pPr>
        <w:pStyle w:val="BodyText"/>
      </w:pPr>
      <w:r>
        <w:t xml:space="preserve">United States Miami</w:t>
      </w:r>
    </w:p>
    <w:bookmarkEnd w:id="20"/>
    <w:p>
      <w:pPr>
        <w:pStyle w:val="BodyText"/>
      </w:pPr>
      <w:r>
        <w:rPr>
          <w:bCs/>
          <w:b/>
        </w:rPr>
        <w:t xml:space="preserve">Invoice Number:</w:t>
      </w:r>
      <w:r>
        <w:t xml:space="preserve"> </w:t>
      </w:r>
      <w:r>
        <w:t xml:space="preserve">INV-2025-MIA-0472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Start w:id="21" w:name="from-service-provider"/>
    <w:p>
      <w:pPr>
        <w:pStyle w:val="Heading3"/>
      </w:pPr>
      <w:r>
        <w:t xml:space="preserve">From (Service Provider)</w:t>
      </w:r>
    </w:p>
    <w:p>
      <w:pPr>
        <w:pStyle w:val="FirstParagraph"/>
      </w:pPr>
      <w:r>
        <w:rPr>
          <w:bCs/>
          <w:b/>
        </w:rPr>
        <w:t xml:space="preserve">Dr. Elena Vasquez, Ph.D.</w:t>
      </w:r>
    </w:p>
    <w:p>
      <w:pPr>
        <w:pStyle w:val="BodyText"/>
      </w:pPr>
      <w:r>
        <w:t xml:space="preserve">Senior Mathematician &amp; Quantitative Analyst</w:t>
      </w:r>
    </w:p>
    <w:p>
      <w:pPr>
        <w:pStyle w:val="BodyText"/>
      </w:pPr>
      <w:r>
        <w:t xml:space="preserve">Vasquez Mathematical Consulting LLC</w:t>
      </w:r>
    </w:p>
    <w:p>
      <w:pPr>
        <w:pStyle w:val="BodyText"/>
      </w:pPr>
      <w:r>
        <w:t xml:space="preserve">1200 Brickell Avenue, Suite 2400</w:t>
      </w:r>
    </w:p>
    <w:p>
      <w:pPr>
        <w:pStyle w:val="BodyText"/>
      </w:pPr>
      <w:r>
        <w:t xml:space="preserve">Miami, Florida 33131</w:t>
      </w:r>
    </w:p>
    <w:p>
      <w:pPr>
        <w:pStyle w:val="BodyText"/>
      </w:pPr>
      <w:r>
        <w:t xml:space="preserve">United States</w:t>
      </w:r>
    </w:p>
    <w:p>
      <w:pPr>
        <w:pStyle w:val="BodyText"/>
      </w:pPr>
      <w:r>
        <w:t xml:space="preserve">Tel: (305) 555-0187</w:t>
      </w:r>
    </w:p>
    <w:p>
      <w:pPr>
        <w:pStyle w:val="BodyText"/>
      </w:pPr>
      <w:r>
        <w:t xml:space="preserve">Email: e.vasquez@vasquezmath.com</w:t>
      </w:r>
    </w:p>
    <w:p>
      <w:pPr>
        <w:pStyle w:val="BodyText"/>
      </w:pPr>
      <w:r>
        <w:t xml:space="preserve">EIN: 82-4471903</w:t>
      </w:r>
    </w:p>
    <w:bookmarkEnd w:id="21"/>
    <w:bookmarkStart w:id="22" w:name="bill-to-client"/>
    <w:p>
      <w:pPr>
        <w:pStyle w:val="Heading3"/>
      </w:pPr>
      <w:r>
        <w:t xml:space="preserve">Bill To (Client)</w:t>
      </w:r>
    </w:p>
    <w:p>
      <w:pPr>
        <w:pStyle w:val="FirstParagraph"/>
      </w:pPr>
      <w:r>
        <w:rPr>
          <w:bCs/>
          <w:b/>
        </w:rPr>
        <w:t xml:space="preserve">Meridian Financial Analytics Group</w:t>
      </w:r>
    </w:p>
    <w:p>
      <w:pPr>
        <w:pStyle w:val="BodyText"/>
      </w:pPr>
      <w:r>
        <w:t xml:space="preserve">Attn: Mr. Jonathan Reeves, CFO</w:t>
      </w:r>
    </w:p>
    <w:p>
      <w:pPr>
        <w:pStyle w:val="BodyText"/>
      </w:pPr>
      <w:r>
        <w:t xml:space="preserve">300 Biscayne Boulevard, Floor 18</w:t>
      </w:r>
    </w:p>
    <w:p>
      <w:pPr>
        <w:pStyle w:val="BodyText"/>
      </w:pPr>
      <w:r>
        <w:t xml:space="preserve">Miami, Florida 33132</w:t>
      </w:r>
    </w:p>
    <w:p>
      <w:pPr>
        <w:pStyle w:val="BodyText"/>
      </w:pPr>
      <w:r>
        <w:t xml:space="preserve">United States</w:t>
      </w:r>
    </w:p>
    <w:p>
      <w:pPr>
        <w:pStyle w:val="BodyText"/>
      </w:pPr>
      <w:r>
        <w:t xml:space="preserve">Tel: (305) 555-0243</w:t>
      </w:r>
    </w:p>
    <w:p>
      <w:pPr>
        <w:pStyle w:val="BodyText"/>
      </w:pPr>
      <w:r>
        <w:t xml:space="preserve">Email: j.reeves@meridianfa.com</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Mathematician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Advanced stochastic modeling and probabilistic risk assessment for portfolio optimization. The Mathematician developed a comprehensive Monte Carlo simulation framework incorporating multivariate Gaussian copulas to evaluate tail-risk exposure across 4,200 financial instruments.</w:t>
            </w:r>
          </w:p>
        </w:tc>
        <w:tc>
          <w:tcPr/>
          <w:p>
            <w:pPr>
              <w:pStyle w:val="Compact"/>
              <w:jc w:val="left"/>
            </w:pPr>
            <w:r>
              <w:t xml:space="preserve">May 5 – May 16, 2025</w:t>
            </w:r>
          </w:p>
        </w:tc>
        <w:tc>
          <w:tcPr/>
          <w:p>
            <w:pPr>
              <w:pStyle w:val="Compact"/>
              <w:jc w:val="left"/>
            </w:pPr>
            <w:r>
              <w:t xml:space="preserve">48.0</w:t>
            </w:r>
          </w:p>
        </w:tc>
        <w:tc>
          <w:tcPr/>
          <w:p>
            <w:pPr>
              <w:pStyle w:val="Compact"/>
              <w:jc w:val="left"/>
            </w:pPr>
            <w:r>
              <w:t xml:space="preserve">$275.00</w:t>
            </w:r>
          </w:p>
        </w:tc>
        <w:tc>
          <w:tcPr/>
          <w:p>
            <w:pPr>
              <w:pStyle w:val="Compact"/>
              <w:jc w:val="left"/>
            </w:pPr>
            <w:r>
              <w:t xml:space="preserve">$13,200.00</w:t>
            </w:r>
          </w:p>
        </w:tc>
      </w:tr>
      <w:tr>
        <w:tc>
          <w:tcPr/>
          <w:p>
            <w:pPr>
              <w:pStyle w:val="Compact"/>
              <w:jc w:val="left"/>
            </w:pPr>
            <w:r>
              <w:t xml:space="preserve">2</w:t>
            </w:r>
          </w:p>
        </w:tc>
        <w:tc>
          <w:tcPr/>
          <w:p>
            <w:pPr>
              <w:pStyle w:val="Compact"/>
              <w:jc w:val="left"/>
            </w:pPr>
            <w:r>
              <w:t xml:space="preserve">Derivation and implementation of novel partial differential equation (PDE) solvers for real-time option pricing. The Mathematician designed a finite-element method adapted to the Black-Scholes-Merton framework with stochastic volatility extensions, reducing computational latency by 34%.</w:t>
            </w:r>
          </w:p>
        </w:tc>
        <w:tc>
          <w:tcPr/>
          <w:p>
            <w:pPr>
              <w:pStyle w:val="Compact"/>
              <w:jc w:val="left"/>
            </w:pPr>
            <w:r>
              <w:t xml:space="preserve">May 19 – May 30, 2025</w:t>
            </w:r>
          </w:p>
        </w:tc>
        <w:tc>
          <w:tcPr/>
          <w:p>
            <w:pPr>
              <w:pStyle w:val="Compact"/>
              <w:jc w:val="left"/>
            </w:pPr>
            <w:r>
              <w:t xml:space="preserve">40.0</w:t>
            </w:r>
          </w:p>
        </w:tc>
        <w:tc>
          <w:tcPr/>
          <w:p>
            <w:pPr>
              <w:pStyle w:val="Compact"/>
              <w:jc w:val="left"/>
            </w:pPr>
            <w:r>
              <w:t xml:space="preserve">$275.00</w:t>
            </w:r>
          </w:p>
        </w:tc>
        <w:tc>
          <w:tcPr/>
          <w:p>
            <w:pPr>
              <w:pStyle w:val="Compact"/>
              <w:jc w:val="left"/>
            </w:pPr>
            <w:r>
              <w:t xml:space="preserve">$11,000.00</w:t>
            </w:r>
          </w:p>
        </w:tc>
      </w:tr>
      <w:tr>
        <w:tc>
          <w:tcPr/>
          <w:p>
            <w:pPr>
              <w:pStyle w:val="Compact"/>
              <w:jc w:val="left"/>
            </w:pPr>
            <w:r>
              <w:t xml:space="preserve">3</w:t>
            </w:r>
          </w:p>
        </w:tc>
        <w:tc>
          <w:tcPr/>
          <w:p>
            <w:pPr>
              <w:pStyle w:val="Compact"/>
              <w:jc w:val="left"/>
            </w:pPr>
            <w:r>
              <w:t xml:space="preserve">Topological data analysis (TDA) of client transaction networks. The Mathematician applied persistent homology and Vietoris-Rips complex constructions to identify anomalous clustering patterns indicative of potential regulatory compliance risks within the Miami, United States market segment.</w:t>
            </w:r>
          </w:p>
        </w:tc>
        <w:tc>
          <w:tcPr/>
          <w:p>
            <w:pPr>
              <w:pStyle w:val="Compact"/>
              <w:jc w:val="left"/>
            </w:pPr>
            <w:r>
              <w:t xml:space="preserve">June 2 – June 9, 2025</w:t>
            </w:r>
          </w:p>
        </w:tc>
        <w:tc>
          <w:tcPr/>
          <w:p>
            <w:pPr>
              <w:pStyle w:val="Compact"/>
              <w:jc w:val="left"/>
            </w:pPr>
            <w:r>
              <w:t xml:space="preserve">32.0</w:t>
            </w:r>
          </w:p>
        </w:tc>
        <w:tc>
          <w:tcPr/>
          <w:p>
            <w:pPr>
              <w:pStyle w:val="Compact"/>
              <w:jc w:val="left"/>
            </w:pPr>
            <w:r>
              <w:t xml:space="preserve">$275.00</w:t>
            </w:r>
          </w:p>
        </w:tc>
        <w:tc>
          <w:tcPr/>
          <w:p>
            <w:pPr>
              <w:pStyle w:val="Compact"/>
              <w:jc w:val="left"/>
            </w:pPr>
            <w:r>
              <w:t xml:space="preserve">$8,800.00</w:t>
            </w:r>
          </w:p>
        </w:tc>
      </w:tr>
      <w:tr>
        <w:tc>
          <w:tcPr/>
          <w:p>
            <w:pPr>
              <w:pStyle w:val="Compact"/>
              <w:jc w:val="left"/>
            </w:pPr>
            <w:r>
              <w:t xml:space="preserve">4</w:t>
            </w:r>
          </w:p>
        </w:tc>
        <w:tc>
          <w:tcPr/>
          <w:p>
            <w:pPr>
              <w:pStyle w:val="Compact"/>
              <w:jc w:val="left"/>
            </w:pPr>
            <w:r>
              <w:t xml:space="preserve">On-site consultation and peer review session at the client's Miami headquarters. The Mathematician presented findings, validated model assumptions with the quantitative trading desk, and provided a formal written attestation of mathematical rigor for the firm's internal audit committee.</w:t>
            </w:r>
          </w:p>
        </w:tc>
        <w:tc>
          <w:tcPr/>
          <w:p>
            <w:pPr>
              <w:pStyle w:val="Compact"/>
              <w:jc w:val="left"/>
            </w:pPr>
            <w:r>
              <w:t xml:space="preserve">June 12, 2025</w:t>
            </w:r>
          </w:p>
        </w:tc>
        <w:tc>
          <w:tcPr/>
          <w:p>
            <w:pPr>
              <w:pStyle w:val="Compact"/>
              <w:jc w:val="left"/>
            </w:pPr>
            <w:r>
              <w:t xml:space="preserve">8.0</w:t>
            </w:r>
          </w:p>
        </w:tc>
        <w:tc>
          <w:tcPr/>
          <w:p>
            <w:pPr>
              <w:pStyle w:val="Compact"/>
              <w:jc w:val="left"/>
            </w:pPr>
            <w:r>
              <w:t xml:space="preserve">$325.00</w:t>
            </w:r>
          </w:p>
        </w:tc>
        <w:tc>
          <w:tcPr/>
          <w:p>
            <w:pPr>
              <w:pStyle w:val="Compact"/>
              <w:jc w:val="left"/>
            </w:pPr>
            <w:r>
              <w:t xml:space="preserve">$2,600.00</w:t>
            </w:r>
          </w:p>
        </w:tc>
      </w:tr>
      <w:tr>
        <w:tc>
          <w:tcPr/>
          <w:p>
            <w:pPr>
              <w:pStyle w:val="Compact"/>
              <w:jc w:val="left"/>
            </w:pPr>
            <w:r>
              <w:t xml:space="preserve">5</w:t>
            </w:r>
          </w:p>
        </w:tc>
        <w:tc>
          <w:tcPr/>
          <w:p>
            <w:pPr>
              <w:pStyle w:val="Compact"/>
              <w:jc w:val="left"/>
            </w:pPr>
            <w:r>
              <w:t xml:space="preserve">Preparation of a 60-page technical white paper documenting all mathematical methodologies, proofs of convergence, and sensitivity analyses. This document serves as the permanent reference for the client's research division and is filed under the firm's intellectual property registry in the State of Florida, United States.</w:t>
            </w:r>
          </w:p>
        </w:tc>
        <w:tc>
          <w:tcPr/>
          <w:p>
            <w:pPr>
              <w:pStyle w:val="Compact"/>
              <w:jc w:val="left"/>
            </w:pPr>
            <w:r>
              <w:t xml:space="preserve">June 10 – June 14, 2025</w:t>
            </w:r>
          </w:p>
        </w:tc>
        <w:tc>
          <w:tcPr/>
          <w:p>
            <w:pPr>
              <w:pStyle w:val="Compact"/>
              <w:jc w:val="left"/>
            </w:pPr>
            <w:r>
              <w:t xml:space="preserve">24.0</w:t>
            </w:r>
          </w:p>
        </w:tc>
        <w:tc>
          <w:tcPr/>
          <w:p>
            <w:pPr>
              <w:pStyle w:val="Compact"/>
              <w:jc w:val="left"/>
            </w:pPr>
            <w:r>
              <w:t xml:space="preserve">$250.00</w:t>
            </w:r>
          </w:p>
        </w:tc>
        <w:tc>
          <w:tcPr/>
          <w:p>
            <w:pPr>
              <w:pStyle w:val="Compact"/>
              <w:jc w:val="left"/>
            </w:pPr>
            <w:r>
              <w:t xml:space="preserve">$6,000.00</w:t>
            </w:r>
          </w:p>
        </w:tc>
      </w:tr>
    </w:tbl>
    <w:p>
      <w:pPr>
        <w:pStyle w:val="BodyText"/>
      </w:pPr>
      <w:r>
        <w:t xml:space="preserve">Subtotal:</w:t>
      </w:r>
      <w:r>
        <w:t xml:space="preserve">$41,600.00</w:t>
      </w:r>
    </w:p>
    <w:p>
      <w:pPr>
        <w:pStyle w:val="BodyText"/>
      </w:pPr>
      <w:r>
        <w:t xml:space="preserve">Applicable Tax (Miami-Dade County, FL – 6.5%):</w:t>
      </w:r>
      <w:r>
        <w:t xml:space="preserve">$2,704.00</w:t>
      </w:r>
    </w:p>
    <w:p>
      <w:pPr>
        <w:pStyle w:val="BodyText"/>
      </w:pPr>
      <w:r>
        <w:t xml:space="preserve">State of Florida Sales Tax (0% – Professional Services Exempt):</w:t>
      </w:r>
      <w:r>
        <w:t xml:space="preserve">$0.00</w:t>
      </w:r>
    </w:p>
    <w:p>
      <w:pPr>
        <w:pStyle w:val="BodyText"/>
      </w:pPr>
      <w:r>
        <w:t xml:space="preserve">TOTAL AMOUNT DUE:</w:t>
      </w:r>
      <w:r>
        <w:t xml:space="preserve">$44,304.00</w:t>
      </w:r>
    </w:p>
    <w:bookmarkStart w:id="23" w:name="invoice-notes-terms"/>
    <w:p>
      <w:pPr>
        <w:pStyle w:val="Heading3"/>
      </w:pPr>
      <w:r>
        <w:t xml:space="preserve">Invoice Notes &amp; Terms</w:t>
      </w:r>
    </w:p>
    <w:p>
      <w:pPr>
        <w:pStyle w:val="FirstParagraph"/>
      </w:pPr>
      <w:r>
        <w:t xml:space="preserve">This Invoice is issued by Dr. Elena Vasquez, a licensed and credentialed Mathematician operating under Vasquez Mathematical Consulting LLC, a registered entity in the State of Florida, United States. All services described herein were performed in the capacity of a professional Mathematician specializing in applied mathematics, computational analysis, and quantitative finance.</w:t>
      </w:r>
    </w:p>
    <w:p>
      <w:pPr>
        <w:pStyle w:val="BodyText"/>
      </w:pPr>
      <w:r>
        <w:t xml:space="preserve">The client acknowledges that all mathematical models, derivations, and analytical frameworks delivered under this engagement are the intellectual property of the Mathematician and remain subject to the confidentiality and non-disclosure agreement executed on April 28, 2025. The client is granted a perpetual, non-exclusive license to use the deliverables solely for internal business operations within the United States.</w:t>
      </w:r>
    </w:p>
    <w:p>
      <w:pPr>
        <w:pStyle w:val="BodyText"/>
      </w:pPr>
      <w:r>
        <w:t xml:space="preserve">Payment is due within thirty (30) calendar days of the Invoice date. Late payments shall accrue interest at a rate of 1.5% per month, in accordance with Florida Statutes Chapter 559. This Invoice is governed by the laws of the State of Florida, United States, and any disputes arising from this engagement shall be resolved through binding arbitration in Miami-Dade County, Florida.</w:t>
      </w:r>
    </w:p>
    <w:p>
      <w:pPr>
        <w:pStyle w:val="BodyText"/>
      </w:pPr>
      <w:r>
        <w:t xml:space="preserve">The Mathematician warrants that all work performed meets the highest standards of mathematical accuracy and professional integrity. Should any computational error be identified within ninety (90) days of delivery, the Mathematician shall correct the work at no additional charge.</w:t>
      </w:r>
    </w:p>
    <w:bookmarkEnd w:id="23"/>
    <w:bookmarkStart w:id="24" w:name="payment-instructions"/>
    <w:p>
      <w:pPr>
        <w:pStyle w:val="Heading4"/>
      </w:pPr>
      <w:r>
        <w:t xml:space="preserve">Payment Instructions</w:t>
      </w:r>
    </w:p>
    <w:p>
      <w:pPr>
        <w:pStyle w:val="FirstParagraph"/>
      </w:pPr>
      <w:r>
        <w:rPr>
          <w:bCs/>
          <w:b/>
        </w:rPr>
        <w:t xml:space="preserve">Bank:</w:t>
      </w:r>
      <w:r>
        <w:t xml:space="preserve"> </w:t>
      </w:r>
      <w:r>
        <w:t xml:space="preserve">First National Bank of Miami</w:t>
      </w:r>
    </w:p>
    <w:p>
      <w:pPr>
        <w:pStyle w:val="BodyText"/>
      </w:pPr>
      <w:r>
        <w:rPr>
          <w:bCs/>
          <w:b/>
        </w:rPr>
        <w:t xml:space="preserve">Account Name:</w:t>
      </w:r>
      <w:r>
        <w:t xml:space="preserve"> </w:t>
      </w:r>
      <w:r>
        <w:t xml:space="preserve">Vasquez Mathematical Consulting LLC</w:t>
      </w:r>
    </w:p>
    <w:p>
      <w:pPr>
        <w:pStyle w:val="BodyText"/>
      </w:pPr>
      <w:r>
        <w:rPr>
          <w:bCs/>
          <w:b/>
        </w:rPr>
        <w:t xml:space="preserve">Routing Number:</w:t>
      </w:r>
      <w:r>
        <w:t xml:space="preserve"> </w:t>
      </w:r>
      <w:r>
        <w:t xml:space="preserve">021000021</w:t>
      </w:r>
    </w:p>
    <w:p>
      <w:pPr>
        <w:pStyle w:val="BodyText"/>
      </w:pPr>
      <w:r>
        <w:rPr>
          <w:bCs/>
          <w:b/>
        </w:rPr>
        <w:t xml:space="preserve">Account Number:</w:t>
      </w:r>
      <w:r>
        <w:t xml:space="preserve"> </w:t>
      </w:r>
      <w:r>
        <w:t xml:space="preserve">****-****-4821</w:t>
      </w:r>
    </w:p>
    <w:p>
      <w:pPr>
        <w:pStyle w:val="BodyText"/>
      </w:pPr>
      <w:r>
        <w:rPr>
          <w:bCs/>
          <w:b/>
        </w:rPr>
        <w:t xml:space="preserve">Reference:</w:t>
      </w:r>
      <w:r>
        <w:t xml:space="preserve"> </w:t>
      </w:r>
      <w:r>
        <w:t xml:space="preserve">INV-2025-MIA-0472</w:t>
      </w:r>
    </w:p>
    <w:bookmarkEnd w:id="24"/>
    <w:bookmarkStart w:id="25" w:name="accepted-payment-methods"/>
    <w:p>
      <w:pPr>
        <w:pStyle w:val="Heading4"/>
      </w:pPr>
      <w:r>
        <w:t xml:space="preserve">Accepted Payment Methods</w:t>
      </w:r>
    </w:p>
    <w:p>
      <w:pPr>
        <w:pStyle w:val="FirstParagraph"/>
      </w:pPr>
      <w:r>
        <w:t xml:space="preserve">Wire Transfer (ACH)</w:t>
      </w:r>
    </w:p>
    <w:p>
      <w:pPr>
        <w:pStyle w:val="BodyText"/>
      </w:pPr>
      <w:r>
        <w:t xml:space="preserve">Check (Payable to: Vasquez Mathematical Consulting LLC)</w:t>
      </w:r>
    </w:p>
    <w:p>
      <w:pPr>
        <w:pStyle w:val="BodyText"/>
      </w:pPr>
      <w:r>
        <w:t xml:space="preserve">Corporate Credit Card (Visa, MasterCard, Amex)</w:t>
      </w:r>
    </w:p>
    <w:p>
      <w:pPr>
        <w:pStyle w:val="BodyText"/>
      </w:pPr>
      <w:r>
        <w:t xml:space="preserve">* A 2.9% processing fee applies to credit card payments.</w:t>
      </w:r>
    </w:p>
    <w:bookmarkEnd w:id="25"/>
    <w:p>
      <w:pPr>
        <w:pStyle w:val="BodyText"/>
      </w:pPr>
      <w:r>
        <w:rPr>
          <w:bCs/>
          <w:b/>
        </w:rPr>
        <w:t xml:space="preserve">Vasquez Mathematical Consulting LLC</w:t>
      </w:r>
      <w:r>
        <w:t xml:space="preserve"> </w:t>
      </w:r>
      <w:r>
        <w:t xml:space="preserve">| 1200 Brickell Avenue, Suite 2400, Miami, FL 33131, United States</w:t>
      </w:r>
    </w:p>
    <w:p>
      <w:pPr>
        <w:pStyle w:val="BodyText"/>
      </w:pPr>
      <w:r>
        <w:t xml:space="preserve">Florida Business License #LX12345670001 | Registered in the State of Florida, United States</w:t>
      </w:r>
    </w:p>
    <w:p>
      <w:pPr>
        <w:pStyle w:val="BodyText"/>
      </w:pPr>
      <w:r>
        <w:t xml:space="preserve">Thank you for engaging the services of a professional Mathematician. We appreciate your business and look forward to continuing our partnership in Miami, United States.</w:t>
      </w:r>
    </w:p>
    <w:p>
      <w:pPr>
        <w:pStyle w:val="BodyText"/>
      </w:pPr>
      <w:r>
        <w:t xml:space="preserve">This Invoice was generated electronically and is valid without a physical signature. For questions regarding this Invoice, please contact the office of the Mathematician at (305) 555-0187 or e.vasquez@vasquezmath.com.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Miami, United States</dc:title>
  <dc:creator/>
  <dc:language>en</dc:language>
  <cp:keywords/>
  <dcterms:created xsi:type="dcterms:W3CDTF">2026-10-10T04:33:59Z</dcterms:created>
  <dcterms:modified xsi:type="dcterms:W3CDTF">2026-10-10T04:33:59Z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