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Professional Mathematician Services</w:t>
      </w:r>
    </w:p>
    <w:p>
      <w:pPr>
        <w:pStyle w:val="BodyText"/>
      </w:pPr>
      <w:r>
        <w:t xml:space="preserve">United States New York City</w:t>
      </w:r>
    </w:p>
    <w:p>
      <w:pPr>
        <w:pStyle w:val="BodyText"/>
      </w:pPr>
      <w:r>
        <w:t xml:space="preserve">INVOICE NO. NYC-MATH-2025-0472</w:t>
      </w:r>
    </w:p>
    <w:bookmarkEnd w:id="20"/>
    <w:bookmarkStart w:id="21" w:name="from-mathematician"/>
    <w:p>
      <w:pPr>
        <w:pStyle w:val="Heading3"/>
      </w:pPr>
      <w:r>
        <w:t xml:space="preserve">From (Mathematician)</w:t>
      </w:r>
    </w:p>
    <w:p>
      <w:pPr>
        <w:pStyle w:val="FirstParagraph"/>
      </w:pPr>
      <w:r>
        <w:rPr>
          <w:bCs/>
          <w:b/>
        </w:rPr>
        <w:t xml:space="preserve">Dr. Eleanor V. Whitfield, Ph.D.</w:t>
      </w:r>
    </w:p>
    <w:p>
      <w:pPr>
        <w:pStyle w:val="BodyText"/>
      </w:pPr>
      <w:r>
        <w:t xml:space="preserve">Senior Mathematician &amp; Quantitative Analyst</w:t>
      </w:r>
    </w:p>
    <w:p>
      <w:pPr>
        <w:pStyle w:val="BodyText"/>
      </w:pPr>
      <w:r>
        <w:t xml:space="preserve">Whitfield Mathematical Consulting LLC</w:t>
      </w:r>
    </w:p>
    <w:p>
      <w:pPr>
        <w:pStyle w:val="BodyText"/>
      </w:pPr>
      <w:r>
        <w:t xml:space="preserve">1285 Broadway, Suite 2400</w:t>
      </w:r>
    </w:p>
    <w:p>
      <w:pPr>
        <w:pStyle w:val="BodyText"/>
      </w:pPr>
      <w:r>
        <w:t xml:space="preserve">New York, NY 10018</w:t>
      </w:r>
    </w:p>
    <w:p>
      <w:pPr>
        <w:pStyle w:val="BodyText"/>
      </w:pPr>
      <w:r>
        <w:t xml:space="preserve">United States New York City</w:t>
      </w:r>
    </w:p>
    <w:p>
      <w:pPr>
        <w:pStyle w:val="BodyText"/>
      </w:pPr>
      <w:r>
        <w:t xml:space="preserve">Tel: (212) 555-0147</w:t>
      </w:r>
    </w:p>
    <w:p>
      <w:pPr>
        <w:pStyle w:val="BodyText"/>
      </w:pPr>
      <w:r>
        <w:t xml:space="preserve">Email: e.whitfield@whitfieldmath.com</w:t>
      </w:r>
    </w:p>
    <w:p>
      <w:pPr>
        <w:pStyle w:val="BodyText"/>
      </w:pPr>
      <w:r>
        <w:t xml:space="preserve">NYC Business License: #NYC-2019-884321</w:t>
      </w:r>
    </w:p>
    <w:bookmarkEnd w:id="21"/>
    <w:bookmarkStart w:id="22" w:name="billed-to-client"/>
    <w:p>
      <w:pPr>
        <w:pStyle w:val="Heading3"/>
      </w:pPr>
      <w:r>
        <w:t xml:space="preserve">Billed To (Client)</w:t>
      </w:r>
    </w:p>
    <w:p>
      <w:pPr>
        <w:pStyle w:val="FirstParagraph"/>
      </w:pPr>
      <w:r>
        <w:rPr>
          <w:bCs/>
          <w:b/>
        </w:rPr>
        <w:t xml:space="preserve">Meridian Financial Analytics Group</w:t>
      </w:r>
    </w:p>
    <w:p>
      <w:pPr>
        <w:pStyle w:val="BodyText"/>
      </w:pPr>
      <w:r>
        <w:t xml:space="preserve">Attn: Mr. Jonathan R. Caldwell, VP of Research</w:t>
      </w:r>
    </w:p>
    <w:p>
      <w:pPr>
        <w:pStyle w:val="BodyText"/>
      </w:pPr>
      <w:r>
        <w:t xml:space="preserve">200 Park Avenue, 38th Floor</w:t>
      </w:r>
    </w:p>
    <w:p>
      <w:pPr>
        <w:pStyle w:val="BodyText"/>
      </w:pPr>
      <w:r>
        <w:t xml:space="preserve">New York, NY 10166</w:t>
      </w:r>
    </w:p>
    <w:p>
      <w:pPr>
        <w:pStyle w:val="BodyText"/>
      </w:pPr>
      <w:r>
        <w:t xml:space="preserve">United States New York City</w:t>
      </w:r>
    </w:p>
    <w:p>
      <w:pPr>
        <w:pStyle w:val="BodyText"/>
      </w:pPr>
      <w:r>
        <w:t xml:space="preserve">Tel: (212) 555-0892</w:t>
      </w:r>
    </w:p>
    <w:p>
      <w:pPr>
        <w:pStyle w:val="BodyText"/>
      </w:pPr>
      <w:r>
        <w:t xml:space="preserve">Email: j.caldwell@meridianfa.com</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 (Net 30)</w:t>
      </w:r>
    </w:p>
    <w:p>
      <w:pPr>
        <w:pStyle w:val="BodyText"/>
      </w:pPr>
      <w:r>
        <w:rPr>
          <w:bCs/>
          <w:b/>
        </w:rPr>
        <w:t xml:space="preserve">Service Period:</w:t>
      </w:r>
      <w:r>
        <w:t xml:space="preserve"> </w:t>
      </w:r>
      <w:r>
        <w:t xml:space="preserve">May 1 – May 31, 2025</w:t>
      </w:r>
    </w:p>
    <w:p>
      <w:pPr>
        <w:pStyle w:val="BodyText"/>
      </w:pPr>
      <w:r>
        <w:rPr>
          <w:bCs/>
          <w:b/>
        </w:rPr>
        <w:t xml:space="preserve">Payment Method:</w:t>
      </w:r>
      <w:r>
        <w:t xml:space="preserve"> </w:t>
      </w:r>
      <w:r>
        <w:t xml:space="preserve">Wire Transfer / ACH</w:t>
      </w:r>
    </w:p>
    <w:bookmarkEnd w:id="23"/>
    <w:bookmarkStart w:id="24" w:name="reference"/>
    <w:p>
      <w:pPr>
        <w:pStyle w:val="Heading3"/>
      </w:pPr>
      <w:r>
        <w:t xml:space="preserve">Reference</w:t>
      </w:r>
    </w:p>
    <w:p>
      <w:pPr>
        <w:pStyle w:val="FirstParagraph"/>
      </w:pPr>
      <w:r>
        <w:rPr>
          <w:bCs/>
          <w:b/>
        </w:rPr>
        <w:t xml:space="preserve">Contract No.:</w:t>
      </w:r>
      <w:r>
        <w:t xml:space="preserve"> </w:t>
      </w:r>
      <w:r>
        <w:t xml:space="preserve">MFG-WMC-2025-003</w:t>
      </w:r>
    </w:p>
    <w:p>
      <w:pPr>
        <w:pStyle w:val="BodyText"/>
      </w:pPr>
      <w:r>
        <w:rPr>
          <w:bCs/>
          <w:b/>
        </w:rPr>
        <w:t xml:space="preserve">PO Number:</w:t>
      </w:r>
      <w:r>
        <w:t xml:space="preserve"> </w:t>
      </w:r>
      <w:r>
        <w:t xml:space="preserve">MFG-PO-2025-1187</w:t>
      </w:r>
    </w:p>
    <w:p>
      <w:pPr>
        <w:pStyle w:val="BodyText"/>
      </w:pPr>
      <w:r>
        <w:rPr>
          <w:bCs/>
          <w:b/>
        </w:rPr>
        <w:t xml:space="preserve">Project:</w:t>
      </w:r>
      <w:r>
        <w:t xml:space="preserve"> </w:t>
      </w:r>
      <w:r>
        <w:t xml:space="preserve">Stochastic Modeling &amp; Optimization</w:t>
      </w:r>
    </w:p>
    <w:bookmarkEnd w:id="24"/>
    <w:bookmarkStart w:id="26" w:name="Xee8f0f16e855a1cd276c57189b1f432ba308f7e"/>
    <w:p>
      <w:pPr>
        <w:pStyle w:val="Heading2"/>
      </w:pPr>
      <w:r>
        <w:t xml:space="preserve">Description of Mathematician Services Rendered</w:t>
      </w:r>
    </w:p>
    <w:p>
      <w:pPr>
        <w:pStyle w:val="FirstParagraph"/>
      </w:pPr>
      <w:r>
        <w:t xml:space="preserve">The following Invoice itemizes professional services provided by Dr. Eleanor V. Whitfield, a licensed Mathematician operating within the United States New York City metropolitan area, in accordance with the terms of the master service agreement executed between Whitfield Mathematical Consulting LLC and Meridian Financial Analytics Group. All mathematical computations, proofs, and analytical work were performed in compliance with applicable New York State professional standards and United States federal regulations governing quantitative financial analysis.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Development of stochastic differential equation models for portfolio risk assessment; derivation of closed-form solutions and Monte Carlo simulation frameworks. Mathematician performed all analytical work at the United States New York City office.</w:t>
            </w:r>
          </w:p>
        </w:tc>
        <w:tc>
          <w:tcPr/>
          <w:p>
            <w:pPr>
              <w:pStyle w:val="Compact"/>
              <w:jc w:val="left"/>
            </w:pPr>
            <w:r>
              <w:t xml:space="preserve">32.0</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2</w:t>
            </w:r>
          </w:p>
        </w:tc>
        <w:tc>
          <w:tcPr/>
          <w:p>
            <w:pPr>
              <w:pStyle w:val="Compact"/>
              <w:jc w:val="left"/>
            </w:pPr>
            <w:r>
              <w:t xml:space="preserve">Optimization of derivative pricing algorithms using convex analysis and variational methods. Mathematician provided peer-reviewed proofs of convergence and boundedness for all proposed numerical schemes.</w:t>
            </w:r>
          </w:p>
        </w:tc>
        <w:tc>
          <w:tcPr/>
          <w:p>
            <w:pPr>
              <w:pStyle w:val="Compact"/>
              <w:jc w:val="left"/>
            </w:pPr>
            <w:r>
              <w:t xml:space="preserve">24.5</w:t>
            </w:r>
          </w:p>
        </w:tc>
        <w:tc>
          <w:tcPr/>
          <w:p>
            <w:pPr>
              <w:pStyle w:val="Compact"/>
              <w:jc w:val="left"/>
            </w:pPr>
            <w:r>
              <w:t xml:space="preserve">$285.00</w:t>
            </w:r>
          </w:p>
        </w:tc>
        <w:tc>
          <w:tcPr/>
          <w:p>
            <w:pPr>
              <w:pStyle w:val="Compact"/>
              <w:jc w:val="left"/>
            </w:pPr>
            <w:r>
              <w:t xml:space="preserve">$6,982.50</w:t>
            </w:r>
          </w:p>
        </w:tc>
      </w:tr>
      <w:tr>
        <w:tc>
          <w:tcPr/>
          <w:p>
            <w:pPr>
              <w:pStyle w:val="Compact"/>
              <w:jc w:val="left"/>
            </w:pPr>
            <w:r>
              <w:t xml:space="preserve">3</w:t>
            </w:r>
          </w:p>
        </w:tc>
        <w:tc>
          <w:tcPr/>
          <w:p>
            <w:pPr>
              <w:pStyle w:val="Compact"/>
              <w:jc w:val="left"/>
            </w:pPr>
            <w:r>
              <w:t xml:space="preserve">Consultation and on-site mathematical review at Meridian Financial Analytics Group headquarters, 200 Park Avenue, United States New York City. Mathematician presented findings to the research division and addressed technical inquiries from the engineering team.</w:t>
            </w:r>
          </w:p>
        </w:tc>
        <w:tc>
          <w:tcPr/>
          <w:p>
            <w:pPr>
              <w:pStyle w:val="Compact"/>
              <w:jc w:val="left"/>
            </w:pPr>
            <w:r>
              <w:t xml:space="preserve">8.0</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4</w:t>
            </w:r>
          </w:p>
        </w:tc>
        <w:tc>
          <w:tcPr/>
          <w:p>
            <w:pPr>
              <w:pStyle w:val="Compact"/>
              <w:jc w:val="left"/>
            </w:pPr>
            <w:r>
              <w:t xml:space="preserve">Preparation of a comprehensive technical white paper on topological data analysis applications in high-frequency trading data. Mathematician authored 42 pages of original mathematical content including 18 theorems and 34 figures.</w:t>
            </w:r>
          </w:p>
        </w:tc>
        <w:tc>
          <w:tcPr/>
          <w:p>
            <w:pPr>
              <w:pStyle w:val="Compact"/>
              <w:jc w:val="left"/>
            </w:pPr>
            <w:r>
              <w:t xml:space="preserve">20.0</w:t>
            </w:r>
          </w:p>
        </w:tc>
        <w:tc>
          <w:tcPr/>
          <w:p>
            <w:pPr>
              <w:pStyle w:val="Compact"/>
              <w:jc w:val="left"/>
            </w:pPr>
            <w:r>
              <w:t xml:space="preserve">$285.00</w:t>
            </w:r>
          </w:p>
        </w:tc>
        <w:tc>
          <w:tcPr/>
          <w:p>
            <w:pPr>
              <w:pStyle w:val="Compact"/>
              <w:jc w:val="left"/>
            </w:pPr>
            <w:r>
              <w:t xml:space="preserve">$5,700.00</w:t>
            </w:r>
          </w:p>
        </w:tc>
      </w:tr>
      <w:tr>
        <w:tc>
          <w:tcPr/>
          <w:p>
            <w:pPr>
              <w:pStyle w:val="Compact"/>
              <w:jc w:val="left"/>
            </w:pPr>
            <w:r>
              <w:t xml:space="preserve">5</w:t>
            </w:r>
          </w:p>
        </w:tc>
        <w:tc>
          <w:tcPr/>
          <w:p>
            <w:pPr>
              <w:pStyle w:val="Compact"/>
              <w:jc w:val="left"/>
            </w:pPr>
            <w:r>
              <w:t xml:space="preserve">Mathematical validation and stress-testing of client's existing quantitative models. Mathematician identified three critical boundary condition errors and provided corrected formulations with full derivations.</w:t>
            </w:r>
          </w:p>
        </w:tc>
        <w:tc>
          <w:tcPr/>
          <w:p>
            <w:pPr>
              <w:pStyle w:val="Compact"/>
              <w:jc w:val="left"/>
            </w:pPr>
            <w:r>
              <w:t xml:space="preserve">16.0</w:t>
            </w:r>
          </w:p>
        </w:tc>
        <w:tc>
          <w:tcPr/>
          <w:p>
            <w:pPr>
              <w:pStyle w:val="Compact"/>
              <w:jc w:val="left"/>
            </w:pPr>
            <w:r>
              <w:t xml:space="preserve">$285.00</w:t>
            </w:r>
          </w:p>
        </w:tc>
        <w:tc>
          <w:tcPr/>
          <w:p>
            <w:pPr>
              <w:pStyle w:val="Compact"/>
              <w:jc w:val="left"/>
            </w:pPr>
            <w:r>
              <w:t xml:space="preserve">$4,560.00</w:t>
            </w:r>
          </w:p>
        </w:tc>
      </w:tr>
      <w:tr>
        <w:tc>
          <w:tcPr/>
          <w:p>
            <w:pPr>
              <w:pStyle w:val="Compact"/>
              <w:jc w:val="left"/>
            </w:pPr>
            <w:r>
              <w:t xml:space="preserve">6</w:t>
            </w:r>
          </w:p>
        </w:tc>
        <w:tc>
          <w:tcPr/>
          <w:p>
            <w:pPr>
              <w:pStyle w:val="Compact"/>
              <w:jc w:val="left"/>
            </w:pPr>
            <w:r>
              <w:t xml:space="preserve">Travel and local transportation within United States New York City for on-site engagements (May 7, May 14, May 21, May 28). Mathematician incurred subway, taxi, and parking expenses as documented in attached receipts.</w:t>
            </w:r>
          </w:p>
        </w:tc>
        <w:tc>
          <w:tcPr/>
          <w:p>
            <w:pPr>
              <w:pStyle w:val="Compact"/>
              <w:jc w:val="left"/>
            </w:pPr>
            <w:r>
              <w:t xml:space="preserve">—</w:t>
            </w:r>
          </w:p>
        </w:tc>
        <w:tc>
          <w:tcPr/>
          <w:p>
            <w:pPr>
              <w:pStyle w:val="Compact"/>
              <w:jc w:val="left"/>
            </w:pPr>
            <w:r>
              <w:t xml:space="preserve">—</w:t>
            </w:r>
          </w:p>
        </w:tc>
        <w:tc>
          <w:tcPr/>
          <w:p>
            <w:pPr>
              <w:pStyle w:val="Compact"/>
              <w:jc w:val="left"/>
            </w:pPr>
            <w:r>
              <w:t xml:space="preserve">$342.00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$29,264.50</w:t>
            </w:r>
          </w:p>
        </w:tc>
      </w:tr>
      <w:tr>
        <w:tc>
          <w:tcPr/>
          <w:p>
            <w:pPr>
              <w:pStyle w:val="Compact"/>
              <w:jc w:val="left"/>
            </w:pPr>
            <w:r>
              <w:t xml:space="preserve">NYC Sales &amp; Services Tax (8.875%)</w:t>
            </w:r>
          </w:p>
        </w:tc>
        <w:tc>
          <w:tcPr/>
          <w:p>
            <w:pPr>
              <w:pStyle w:val="Compact"/>
              <w:jc w:val="right"/>
            </w:pPr>
            <w:r>
              <w:t xml:space="preserve">$2,597.43</w:t>
            </w:r>
          </w:p>
        </w:tc>
      </w:tr>
      <w:tr>
        <w:tc>
          <w:tcPr/>
          <w:p>
            <w:pPr>
              <w:pStyle w:val="Compact"/>
              <w:jc w:val="left"/>
            </w:pPr>
            <w:r>
              <w:t xml:space="preserve">NY State Tax (4.0%)</w:t>
            </w:r>
          </w:p>
        </w:tc>
        <w:tc>
          <w:tcPr/>
          <w:p>
            <w:pPr>
              <w:pStyle w:val="Compact"/>
              <w:jc w:val="right"/>
            </w:pPr>
            <w:r>
              <w:t xml:space="preserve">$1,170.58</w:t>
            </w:r>
          </w:p>
        </w:tc>
      </w:tr>
      <w:tr>
        <w:tc>
          <w:tcPr/>
          <w:p>
            <w:pPr>
              <w:pStyle w:val="Compact"/>
              <w:jc w:val="left"/>
            </w:pPr>
            <w:r>
              <w:t xml:space="preserve">Federal Tax (3.0%)</w:t>
            </w:r>
          </w:p>
        </w:tc>
        <w:tc>
          <w:tcPr/>
          <w:p>
            <w:pPr>
              <w:pStyle w:val="Compact"/>
              <w:jc w:val="right"/>
            </w:pPr>
            <w:r>
              <w:t xml:space="preserve">$877.94</w:t>
            </w:r>
          </w:p>
        </w:tc>
      </w:tr>
      <w:tr>
        <w:tc>
          <w:tcPr/>
          <w:p>
            <w:pPr>
              <w:pStyle w:val="Compact"/>
              <w:jc w:val="left"/>
            </w:pPr>
            <w:r>
              <w:t xml:space="preserve">Grand Total Due</w:t>
            </w:r>
          </w:p>
        </w:tc>
        <w:tc>
          <w:tcPr/>
          <w:p>
            <w:pPr>
              <w:pStyle w:val="Compact"/>
              <w:jc w:val="right"/>
            </w:pPr>
            <w:r>
              <w:t xml:space="preserve">$33,910.45</w:t>
            </w:r>
          </w:p>
        </w:tc>
      </w:tr>
    </w:tbl>
    <w:bookmarkStart w:id="25" w:name="payment-terms-notes"/>
    <w:p>
      <w:pPr>
        <w:pStyle w:val="Heading3"/>
      </w:pPr>
      <w:r>
        <w:t xml:space="preserve">Payment Terms &amp; Notes</w:t>
      </w:r>
    </w:p>
    <w:p>
      <w:pPr>
        <w:numPr>
          <w:ilvl w:val="0"/>
          <w:numId w:val="1001"/>
        </w:numPr>
        <w:pStyle w:val="Compact"/>
      </w:pPr>
      <w:r>
        <w:t xml:space="preserve">This Invoice is payable within thirty (30) calendar days of the invoice date, no later than July 15, 2025. Payment is due in United States Dollars (USD) via wire transfer or ACH to the account designated below.</w:t>
      </w:r>
    </w:p>
    <w:p>
      <w:pPr>
        <w:numPr>
          <w:ilvl w:val="0"/>
          <w:numId w:val="1001"/>
        </w:numPr>
        <w:pStyle w:val="Compact"/>
      </w:pPr>
      <w:r>
        <w:t xml:space="preserve">Late payments on this Invoice shall accrue interest at a rate of 1.5% per month, in accordance with New York State Commercial Law (UCC Article 2) and the terms of the master service agreement.</w:t>
      </w:r>
    </w:p>
    <w:p>
      <w:pPr>
        <w:numPr>
          <w:ilvl w:val="0"/>
          <w:numId w:val="1001"/>
        </w:numPr>
        <w:pStyle w:val="Compact"/>
      </w:pPr>
      <w:r>
        <w:t xml:space="preserve">All services rendered by the Mathematician were performed in the United States New York City and are subject to New York City, New York State, and United States federal tax obligations as itemized above.</w:t>
      </w:r>
    </w:p>
    <w:p>
      <w:pPr>
        <w:numPr>
          <w:ilvl w:val="0"/>
          <w:numId w:val="1001"/>
        </w:numPr>
        <w:pStyle w:val="Compact"/>
      </w:pPr>
      <w:r>
        <w:t xml:space="preserve">Whitfield Mathematical Consulting LLC is a registered business entity in the State of New York, operating under the United States New York City business licensing framework. All work product, including mathematical proofs, algorithms, and documentation, remains the intellectual property of the client upon full payment of this Invoice.</w:t>
      </w:r>
    </w:p>
    <w:p>
      <w:pPr>
        <w:numPr>
          <w:ilvl w:val="0"/>
          <w:numId w:val="1001"/>
        </w:numPr>
        <w:pStyle w:val="Compact"/>
      </w:pPr>
      <w:r>
        <w:t xml:space="preserve">Please reference Invoice Number NYC-MATH-2025-0472 and PO Number MFG-PO-2025-1187 on all correspondence and remittances.</w:t>
      </w:r>
    </w:p>
    <w:p>
      <w:pPr>
        <w:numPr>
          <w:ilvl w:val="0"/>
          <w:numId w:val="1001"/>
        </w:numPr>
        <w:pStyle w:val="Compact"/>
      </w:pPr>
      <w:r>
        <w:t xml:space="preserve">For questions regarding this Invoice or the Mathematician services described herein, please contact the undersigned at the address listed above or via email at e.whitfield@whitfieldmath.com.</w:t>
      </w:r>
    </w:p>
    <w:bookmarkEnd w:id="25"/>
    <w:p>
      <w:pPr>
        <w:pStyle w:val="FirstParagraph"/>
      </w:pPr>
      <w:r>
        <w:rPr>
          <w:bCs/>
          <w:b/>
        </w:rPr>
        <w:t xml:space="preserve">Whitfield Mathematical Consulting LLC</w:t>
      </w:r>
      <w:r>
        <w:t xml:space="preserve"> </w:t>
      </w:r>
      <w:r>
        <w:t xml:space="preserve">| 1285 Broadway, Suite 2400, New York, NY 10018 | United States New York City</w:t>
      </w:r>
    </w:p>
    <w:p>
      <w:pPr>
        <w:pStyle w:val="BodyText"/>
      </w:pPr>
      <w:r>
        <w:t xml:space="preserve">Bank: First National Bank of New York | Routing: 021000021 | Account: ****-****-4821</w:t>
      </w:r>
    </w:p>
    <w:p>
      <w:pPr>
        <w:pStyle w:val="BodyText"/>
      </w:pPr>
      <w:r>
        <w:t xml:space="preserve">Thank you for your business. This Invoice was generated electronically and is valid without a physical signature.</w:t>
      </w:r>
    </w:p>
    <w:p>
      <w:pPr>
        <w:pStyle w:val="BodyText"/>
      </w:pPr>
      <w:r>
        <w:t xml:space="preserve">© 2025 Whitfield Mathematical Consulting LLC. All rights reserved. Invoice NYC-MATH-2025-0472.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United States New York City</dc:title>
  <dc:creator/>
  <dc:language>en</dc:language>
  <cp:keywords/>
  <dcterms:created xsi:type="dcterms:W3CDTF">2026-10-10T02:03:37Z</dcterms:created>
  <dcterms:modified xsi:type="dcterms:W3CDTF">2026-10-10T02:03:37Z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