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dr.-eleanor-v.-hartwell"/>
    <w:p>
      <w:pPr>
        <w:pStyle w:val="Heading1"/>
      </w:pPr>
      <w:r>
        <w:t xml:space="preserve">Dr. Eleanor V. Hartwell</w:t>
      </w:r>
    </w:p>
    <w:p>
      <w:pPr>
        <w:pStyle w:val="FirstParagraph"/>
      </w:pPr>
      <w:r>
        <w:t xml:space="preserve">Independent Mathematician &amp; Quantitative Analyst</w:t>
      </w:r>
    </w:p>
    <w:p>
      <w:pPr>
        <w:pStyle w:val="BodyText"/>
      </w:pPr>
      <w:r>
        <w:t xml:space="preserve">1480 Market Street, Suite 2200</w:t>
      </w:r>
    </w:p>
    <w:p>
      <w:pPr>
        <w:pStyle w:val="BodyText"/>
      </w:pPr>
      <w:r>
        <w:t xml:space="preserve">San Francisco, California 94102</w:t>
      </w:r>
    </w:p>
    <w:p>
      <w:pPr>
        <w:pStyle w:val="BodyText"/>
      </w:pPr>
      <w:r>
        <w:t xml:space="preserve">United States of America</w:t>
      </w:r>
    </w:p>
    <w:p>
      <w:pPr>
        <w:pStyle w:val="BodyText"/>
      </w:pPr>
      <w:r>
        <w:t xml:space="preserve">Phone: (415) 555-0187</w:t>
      </w:r>
    </w:p>
    <w:p>
      <w:pPr>
        <w:pStyle w:val="BodyText"/>
      </w:pPr>
      <w:r>
        <w:t xml:space="preserve">Email: e.hartwell@sfmathconsulting.com</w:t>
      </w:r>
    </w:p>
    <w:p>
      <w:pPr>
        <w:pStyle w:val="BodyText"/>
      </w:pPr>
      <w:r>
        <w:t xml:space="preserve">Tax ID (EIN): 94-2847561</w:t>
      </w:r>
    </w:p>
    <w:p>
      <w:pPr>
        <w:pStyle w:val="BodyText"/>
      </w:pPr>
      <w:r>
        <w:t xml:space="preserve">Licensed Professional</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SFM-2025-0047</w:t>
      </w:r>
    </w:p>
    <w:p>
      <w:pPr>
        <w:pStyle w:val="BodyText"/>
      </w:pPr>
      <w:r>
        <w:rPr>
          <w:bCs/>
          <w:b/>
        </w:rPr>
        <w:t xml:space="preserve">Date Issued:</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Payment Terms:</w:t>
      </w:r>
      <w:r>
        <w:t xml:space="preserve"> </w:t>
      </w:r>
      <w:r>
        <w:t xml:space="preserve">Net 30</w:t>
      </w:r>
    </w:p>
    <w:p>
      <w:pPr>
        <w:pStyle w:val="BodyText"/>
      </w:pPr>
      <w:r>
        <w:rPr>
          <w:bCs/>
          <w:b/>
        </w:rPr>
        <w:t xml:space="preserve">Service Location:</w:t>
      </w:r>
      <w:r>
        <w:t xml:space="preserve"> </w:t>
      </w:r>
      <w:r>
        <w:t xml:space="preserve">United States San Francisco</w:t>
      </w:r>
    </w:p>
    <w:bookmarkEnd w:id="21"/>
    <w:bookmarkStart w:id="22" w:name="bill-to"/>
    <w:p>
      <w:pPr>
        <w:pStyle w:val="Heading3"/>
      </w:pPr>
      <w:r>
        <w:t xml:space="preserve">Bill To</w:t>
      </w:r>
    </w:p>
    <w:p>
      <w:pPr>
        <w:pStyle w:val="FirstParagraph"/>
      </w:pPr>
      <w:r>
        <w:rPr>
          <w:bCs/>
          <w:b/>
        </w:rPr>
        <w:t xml:space="preserve">Bay Area Financial Technologies, Inc.</w:t>
      </w:r>
    </w:p>
    <w:p>
      <w:pPr>
        <w:pStyle w:val="BodyText"/>
      </w:pPr>
      <w:r>
        <w:t xml:space="preserve">Attn: Mr. Jonathan R. Caldwell, CFO</w:t>
      </w:r>
    </w:p>
    <w:p>
      <w:pPr>
        <w:pStyle w:val="BodyText"/>
      </w:pPr>
      <w:r>
        <w:t xml:space="preserve">2200 Mission Street, Floor 14</w:t>
      </w:r>
    </w:p>
    <w:p>
      <w:pPr>
        <w:pStyle w:val="BodyText"/>
      </w:pPr>
      <w:r>
        <w:t xml:space="preserve">San Francisco, California 94110</w:t>
      </w:r>
    </w:p>
    <w:p>
      <w:pPr>
        <w:pStyle w:val="BodyText"/>
      </w:pPr>
      <w:r>
        <w:t xml:space="preserve">United States of America</w:t>
      </w:r>
    </w:p>
    <w:p>
      <w:pPr>
        <w:pStyle w:val="BodyText"/>
      </w:pPr>
      <w:r>
        <w:t xml:space="preserve">Client Reference: BAF-2025-Q2-0091</w:t>
      </w:r>
    </w:p>
    <w:bookmarkEnd w:id="22"/>
    <w:bookmarkStart w:id="23" w:name="prepared-by"/>
    <w:p>
      <w:pPr>
        <w:pStyle w:val="Heading3"/>
      </w:pPr>
      <w:r>
        <w:t xml:space="preserve">Prepared By</w:t>
      </w:r>
    </w:p>
    <w:p>
      <w:pPr>
        <w:pStyle w:val="FirstParagraph"/>
      </w:pPr>
      <w:r>
        <w:rPr>
          <w:bCs/>
          <w:b/>
        </w:rPr>
        <w:t xml:space="preserve">Dr. Eleanor V. Hartwell</w:t>
      </w:r>
    </w:p>
    <w:p>
      <w:pPr>
        <w:pStyle w:val="BodyText"/>
      </w:pPr>
      <w:r>
        <w:t xml:space="preserve">Ph.D. in Applied Mathematics, Stanford University</w:t>
      </w:r>
    </w:p>
    <w:p>
      <w:pPr>
        <w:pStyle w:val="BodyText"/>
      </w:pPr>
      <w:r>
        <w:t xml:space="preserve">Member, American Mathematical Society</w:t>
      </w:r>
    </w:p>
    <w:p>
      <w:pPr>
        <w:pStyle w:val="BodyText"/>
      </w:pPr>
      <w:r>
        <w:t xml:space="preserve">Member, Mathematical Association of America</w:t>
      </w:r>
    </w:p>
    <w:p>
      <w:pPr>
        <w:pStyle w:val="BodyText"/>
      </w:pPr>
      <w:r>
        <w:t xml:space="preserve">San Francisco, California</w:t>
      </w:r>
    </w:p>
    <w:p>
      <w:pPr>
        <w:pStyle w:val="BodyText"/>
      </w:pPr>
      <w:r>
        <w:t xml:space="preserve">United States of America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Advanced stochastic modeling and risk assessment for algorithmic trading systems. The Mathematician developed a comprehensive Monte Carlo simulation framework incorporating multivariate Gaussian copulas to evaluate portfolio risk exposure across 47 correlated asset classes.</w:t>
            </w:r>
          </w:p>
        </w:tc>
        <w:tc>
          <w:tcPr/>
          <w:p>
            <w:pPr>
              <w:pStyle w:val="Compact"/>
              <w:jc w:val="left"/>
            </w:pPr>
            <w:r>
              <w:t xml:space="preserve">Mar 3 – Mar 14, 2025</w:t>
            </w:r>
          </w:p>
        </w:tc>
        <w:tc>
          <w:tcPr/>
          <w:p>
            <w:pPr>
              <w:pStyle w:val="Compact"/>
              <w:jc w:val="left"/>
            </w:pPr>
            <w:r>
              <w:t xml:space="preserve">48.0</w:t>
            </w:r>
          </w:p>
        </w:tc>
        <w:tc>
          <w:tcPr/>
          <w:p>
            <w:pPr>
              <w:pStyle w:val="Compact"/>
              <w:jc w:val="left"/>
            </w:pPr>
            <w:r>
              <w:t xml:space="preserve">$225.00</w:t>
            </w:r>
          </w:p>
        </w:tc>
        <w:tc>
          <w:tcPr/>
          <w:p>
            <w:pPr>
              <w:pStyle w:val="Compact"/>
              <w:jc w:val="left"/>
            </w:pPr>
            <w:r>
              <w:t xml:space="preserve">$10,800.00</w:t>
            </w:r>
          </w:p>
        </w:tc>
      </w:tr>
      <w:tr>
        <w:tc>
          <w:tcPr/>
          <w:p>
            <w:pPr>
              <w:pStyle w:val="Compact"/>
              <w:jc w:val="left"/>
            </w:pPr>
            <w:r>
              <w:t xml:space="preserve">2</w:t>
            </w:r>
          </w:p>
        </w:tc>
        <w:tc>
          <w:tcPr/>
          <w:p>
            <w:pPr>
              <w:pStyle w:val="Compact"/>
              <w:jc w:val="left"/>
            </w:pPr>
            <w:r>
              <w:t xml:space="preserve">Optimization of supply chain logistics using integer linear programming and dynamic programming techniques. The Mathematician formulated and solved a mixed-integer nonlinear programming problem to minimize transportation costs across the Pacific Northwest distribution network.</w:t>
            </w:r>
          </w:p>
        </w:tc>
        <w:tc>
          <w:tcPr/>
          <w:p>
            <w:pPr>
              <w:pStyle w:val="Compact"/>
              <w:jc w:val="left"/>
            </w:pPr>
            <w:r>
              <w:t xml:space="preserve">Mar 17 – Mar 28, 2025</w:t>
            </w:r>
          </w:p>
        </w:tc>
        <w:tc>
          <w:tcPr/>
          <w:p>
            <w:pPr>
              <w:pStyle w:val="Compact"/>
              <w:jc w:val="left"/>
            </w:pPr>
            <w:r>
              <w:t xml:space="preserve">40.0</w:t>
            </w:r>
          </w:p>
        </w:tc>
        <w:tc>
          <w:tcPr/>
          <w:p>
            <w:pPr>
              <w:pStyle w:val="Compact"/>
              <w:jc w:val="left"/>
            </w:pPr>
            <w:r>
              <w:t xml:space="preserve">$225.00</w:t>
            </w:r>
          </w:p>
        </w:tc>
        <w:tc>
          <w:tcPr/>
          <w:p>
            <w:pPr>
              <w:pStyle w:val="Compact"/>
              <w:jc w:val="left"/>
            </w:pPr>
            <w:r>
              <w:t xml:space="preserve">$9,000.00</w:t>
            </w:r>
          </w:p>
        </w:tc>
      </w:tr>
      <w:tr>
        <w:tc>
          <w:tcPr/>
          <w:p>
            <w:pPr>
              <w:pStyle w:val="Compact"/>
              <w:jc w:val="left"/>
            </w:pPr>
            <w:r>
              <w:t xml:space="preserve">3</w:t>
            </w:r>
          </w:p>
        </w:tc>
        <w:tc>
          <w:tcPr/>
          <w:p>
            <w:pPr>
              <w:pStyle w:val="Compact"/>
              <w:jc w:val="left"/>
            </w:pPr>
            <w:r>
              <w:t xml:space="preserve">Development of a novel partial differential equation solver for heat transfer analysis in semiconductor manufacturing processes. The Mathematician derived and validated a finite element method implementation with adaptive mesh refinement for three-dimensional thermal modeling.</w:t>
            </w:r>
          </w:p>
        </w:tc>
        <w:tc>
          <w:tcPr/>
          <w:p>
            <w:pPr>
              <w:pStyle w:val="Compact"/>
              <w:jc w:val="left"/>
            </w:pPr>
            <w:r>
              <w:t xml:space="preserve">Apr 1 – Apr 18, 2025</w:t>
            </w:r>
          </w:p>
        </w:tc>
        <w:tc>
          <w:tcPr/>
          <w:p>
            <w:pPr>
              <w:pStyle w:val="Compact"/>
              <w:jc w:val="left"/>
            </w:pPr>
            <w:r>
              <w:t xml:space="preserve">56.0</w:t>
            </w:r>
          </w:p>
        </w:tc>
        <w:tc>
          <w:tcPr/>
          <w:p>
            <w:pPr>
              <w:pStyle w:val="Compact"/>
              <w:jc w:val="left"/>
            </w:pPr>
            <w:r>
              <w:t xml:space="preserve">$225.00</w:t>
            </w:r>
          </w:p>
        </w:tc>
        <w:tc>
          <w:tcPr/>
          <w:p>
            <w:pPr>
              <w:pStyle w:val="Compact"/>
              <w:jc w:val="left"/>
            </w:pPr>
            <w:r>
              <w:t xml:space="preserve">$12,600.00</w:t>
            </w:r>
          </w:p>
        </w:tc>
      </w:tr>
      <w:tr>
        <w:tc>
          <w:tcPr/>
          <w:p>
            <w:pPr>
              <w:pStyle w:val="Compact"/>
              <w:jc w:val="left"/>
            </w:pPr>
            <w:r>
              <w:t xml:space="preserve">4</w:t>
            </w:r>
          </w:p>
        </w:tc>
        <w:tc>
          <w:tcPr/>
          <w:p>
            <w:pPr>
              <w:pStyle w:val="Compact"/>
              <w:jc w:val="left"/>
            </w:pPr>
            <w:r>
              <w:t xml:space="preserve">Statistical hypothesis testing and Bayesian inference analysis for A/B testing framework validation. The Mathematician performed rigorous frequentist and Bayesian analyses, including posterior distribution estimation, credible interval construction, and model comparison via Bayes factors for the client's customer engagement platform.</w:t>
            </w:r>
          </w:p>
        </w:tc>
        <w:tc>
          <w:tcPr/>
          <w:p>
            <w:pPr>
              <w:pStyle w:val="Compact"/>
              <w:jc w:val="left"/>
            </w:pPr>
            <w:r>
              <w:t xml:space="preserve">Apr 21 – Apr 30, 2025</w:t>
            </w:r>
          </w:p>
        </w:tc>
        <w:tc>
          <w:tcPr/>
          <w:p>
            <w:pPr>
              <w:pStyle w:val="Compact"/>
              <w:jc w:val="left"/>
            </w:pPr>
            <w:r>
              <w:t xml:space="preserve">32.0</w:t>
            </w:r>
          </w:p>
        </w:tc>
        <w:tc>
          <w:tcPr/>
          <w:p>
            <w:pPr>
              <w:pStyle w:val="Compact"/>
              <w:jc w:val="left"/>
            </w:pPr>
            <w:r>
              <w:t xml:space="preserve">$225.00</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On-site consultation and technical workshop at the client's San Francisco headquarters. The Mathematician conducted a two-day intensive training session for the data science team covering advanced numerical methods, spectral analysis, and computational linear algebra with practical applications in machine learning pipeline optimization.</w:t>
            </w:r>
          </w:p>
        </w:tc>
        <w:tc>
          <w:tcPr/>
          <w:p>
            <w:pPr>
              <w:pStyle w:val="Compact"/>
              <w:jc w:val="left"/>
            </w:pPr>
            <w:r>
              <w:t xml:space="preserve">May 5 – May 6, 2025</w:t>
            </w:r>
          </w:p>
        </w:tc>
        <w:tc>
          <w:tcPr/>
          <w:p>
            <w:pPr>
              <w:pStyle w:val="Compact"/>
              <w:jc w:val="left"/>
            </w:pPr>
            <w:r>
              <w:t xml:space="preserve">16.0</w:t>
            </w:r>
          </w:p>
        </w:tc>
        <w:tc>
          <w:tcPr/>
          <w:p>
            <w:pPr>
              <w:pStyle w:val="Compact"/>
              <w:jc w:val="left"/>
            </w:pPr>
            <w:r>
              <w:t xml:space="preserve">$275.00</w:t>
            </w:r>
          </w:p>
        </w:tc>
        <w:tc>
          <w:tcPr/>
          <w:p>
            <w:pPr>
              <w:pStyle w:val="Compact"/>
              <w:jc w:val="left"/>
            </w:pPr>
            <w:r>
              <w:t xml:space="preserve">$4,400.00</w:t>
            </w:r>
          </w:p>
        </w:tc>
      </w:tr>
      <w:tr>
        <w:tc>
          <w:tcPr/>
          <w:p>
            <w:pPr>
              <w:pStyle w:val="Compact"/>
              <w:jc w:val="left"/>
            </w:pPr>
            <w:r>
              <w:t xml:space="preserve">6</w:t>
            </w:r>
          </w:p>
        </w:tc>
        <w:tc>
          <w:tcPr/>
          <w:p>
            <w:pPr>
              <w:pStyle w:val="Compact"/>
              <w:jc w:val="left"/>
            </w:pPr>
            <w:r>
              <w:t xml:space="preserve">Preparation of a peer-reviewed technical white paper documenting the mathematical foundations and algorithmic innovations developed during the engagement period. The Mathematician authored a 34-page document suitable for submission to the Journal of Computational Mathematics, including all derivations, proofs, and computational benchmarks.</w:t>
            </w:r>
          </w:p>
        </w:tc>
        <w:tc>
          <w:tcPr/>
          <w:p>
            <w:pPr>
              <w:pStyle w:val="Compact"/>
              <w:jc w:val="left"/>
            </w:pPr>
            <w:r>
              <w:t xml:space="preserve">May 12 – May 23, 2025</w:t>
            </w:r>
          </w:p>
        </w:tc>
        <w:tc>
          <w:tcPr/>
          <w:p>
            <w:pPr>
              <w:pStyle w:val="Compact"/>
              <w:jc w:val="left"/>
            </w:pPr>
            <w:r>
              <w:t xml:space="preserve">24.0</w:t>
            </w:r>
          </w:p>
        </w:tc>
        <w:tc>
          <w:tcPr/>
          <w:p>
            <w:pPr>
              <w:pStyle w:val="Compact"/>
              <w:jc w:val="left"/>
            </w:pPr>
            <w:r>
              <w:t xml:space="preserve">$225.00</w:t>
            </w:r>
          </w:p>
        </w:tc>
        <w:tc>
          <w:tcPr/>
          <w:p>
            <w:pPr>
              <w:pStyle w:val="Compact"/>
              <w:jc w:val="left"/>
            </w:pPr>
            <w:r>
              <w:t xml:space="preserve">$5,400.00</w:t>
            </w:r>
          </w:p>
        </w:tc>
      </w:tr>
      <w:tr>
        <w:tc>
          <w:tcPr/>
          <w:p>
            <w:pPr>
              <w:pStyle w:val="Compact"/>
              <w:jc w:val="left"/>
            </w:pPr>
            <w:r>
              <w:t xml:space="preserve">7</w:t>
            </w:r>
          </w:p>
        </w:tc>
        <w:tc>
          <w:tcPr/>
          <w:p>
            <w:pPr>
              <w:pStyle w:val="Compact"/>
              <w:jc w:val="left"/>
            </w:pPr>
            <w:r>
              <w:t xml:space="preserve">Travel and accommodation expenses for on-site work performed in the United States San Francisco metropolitan area, including hotel lodging, local transportation, and professional conference attendance at the San Francisco Mathematical Society Annual Symposium.</w:t>
            </w:r>
          </w:p>
        </w:tc>
        <w:tc>
          <w:tcPr/>
          <w:p>
            <w:pPr>
              <w:pStyle w:val="Compact"/>
              <w:jc w:val="left"/>
            </w:pPr>
            <w:r>
              <w:t xml:space="preserve">May 5 – May 6, 2025</w:t>
            </w:r>
          </w:p>
        </w:tc>
        <w:tc>
          <w:tcPr/>
          <w:p>
            <w:pPr>
              <w:pStyle w:val="Compact"/>
              <w:jc w:val="left"/>
            </w:pPr>
            <w:r>
              <w:t xml:space="preserve">—</w:t>
            </w:r>
          </w:p>
        </w:tc>
        <w:tc>
          <w:tcPr/>
          <w:p>
            <w:pPr>
              <w:pStyle w:val="Compact"/>
              <w:jc w:val="left"/>
            </w:pPr>
            <w:r>
              <w:t xml:space="preserve">—</w:t>
            </w:r>
          </w:p>
        </w:tc>
        <w:tc>
          <w:tcPr/>
          <w:p>
            <w:pPr>
              <w:pStyle w:val="Compact"/>
              <w:jc w:val="left"/>
            </w:pPr>
            <w:r>
              <w:t xml:space="preserve">$1,847.50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$51,247.50</w:t>
            </w:r>
          </w:p>
        </w:tc>
      </w:tr>
      <w:tr>
        <w:tc>
          <w:tcPr/>
          <w:p>
            <w:pPr>
              <w:pStyle w:val="Compact"/>
              <w:jc w:val="left"/>
            </w:pPr>
            <w:r>
              <w:t xml:space="preserve">Applicable Discount (5% early engagement bonus)</w:t>
            </w:r>
          </w:p>
        </w:tc>
        <w:tc>
          <w:tcPr/>
          <w:p>
            <w:pPr>
              <w:pStyle w:val="Compact"/>
              <w:jc w:val="left"/>
            </w:pPr>
            <w:r>
              <w:t xml:space="preserve">-$2,562.38</w:t>
            </w:r>
          </w:p>
        </w:tc>
      </w:tr>
      <w:tr>
        <w:tc>
          <w:tcPr/>
          <w:p>
            <w:pPr>
              <w:pStyle w:val="Compact"/>
              <w:jc w:val="left"/>
            </w:pPr>
            <w:r>
              <w:t xml:space="preserve">Adjusted Subtotal</w:t>
            </w:r>
          </w:p>
        </w:tc>
        <w:tc>
          <w:tcPr/>
          <w:p>
            <w:pPr>
              <w:pStyle w:val="Compact"/>
              <w:jc w:val="left"/>
            </w:pPr>
            <w:r>
              <w:t xml:space="preserve">$48,685.12</w:t>
            </w:r>
          </w:p>
        </w:tc>
      </w:tr>
      <w:tr>
        <w:tc>
          <w:tcPr/>
          <w:p>
            <w:pPr>
              <w:pStyle w:val="Compact"/>
              <w:jc w:val="left"/>
            </w:pPr>
            <w:r>
              <w:t xml:space="preserve">California State Sales Tax (8.5%)</w:t>
            </w:r>
          </w:p>
        </w:tc>
        <w:tc>
          <w:tcPr/>
          <w:p>
            <w:pPr>
              <w:pStyle w:val="Compact"/>
              <w:jc w:val="left"/>
            </w:pPr>
            <w:r>
              <w:t xml:space="preserve">$4,138.24</w:t>
            </w:r>
          </w:p>
        </w:tc>
      </w:tr>
      <w:tr>
        <w:tc>
          <w:tcPr/>
          <w:p>
            <w:pPr>
              <w:pStyle w:val="Compact"/>
              <w:jc w:val="left"/>
            </w:pPr>
            <w:r>
              <w:t xml:space="preserve">San Francisco City Tax (1.5%)</w:t>
            </w:r>
          </w:p>
        </w:tc>
        <w:tc>
          <w:tcPr/>
          <w:p>
            <w:pPr>
              <w:pStyle w:val="Compact"/>
              <w:jc w:val="left"/>
            </w:pPr>
            <w:r>
              <w:t xml:space="preserve">$730.28</w:t>
            </w:r>
          </w:p>
        </w:tc>
      </w:tr>
      <w:tr>
        <w:tc>
          <w:tcPr/>
          <w:p>
            <w:pPr>
              <w:pStyle w:val="Compact"/>
              <w:jc w:val="left"/>
            </w:pPr>
            <w:r>
              <w:t xml:space="preserve">TOTAL AMOUNT DUE</w:t>
            </w:r>
          </w:p>
        </w:tc>
        <w:tc>
          <w:tcPr/>
          <w:p>
            <w:pPr>
              <w:pStyle w:val="Compact"/>
              <w:jc w:val="left"/>
            </w:pPr>
            <w:r>
              <w:t xml:space="preserve">$53,553.64</w:t>
            </w:r>
          </w:p>
        </w:tc>
      </w:tr>
    </w:tbl>
    <w:bookmarkStart w:id="24" w:name="important-notes-regarding-this-invoice"/>
    <w:p>
      <w:pPr>
        <w:pStyle w:val="Heading3"/>
      </w:pPr>
      <w:r>
        <w:t xml:space="preserve">Important Notes Regarding This Invoice</w:t>
      </w:r>
    </w:p>
    <w:p>
      <w:pPr>
        <w:pStyle w:val="FirstParagraph"/>
      </w:pPr>
      <w:r>
        <w:rPr>
          <w:bCs/>
          <w:b/>
        </w:rPr>
        <w:t xml:space="preserve">1.</w:t>
      </w:r>
      <w:r>
        <w:t xml:space="preserve"> </w:t>
      </w:r>
      <w:r>
        <w:t xml:space="preserve">This Invoice has been prepared in accordance with the professional standards of the American Mathematical Society and the regulatory requirements of the State of California. All mathematical services rendered by the Mathematician have been performed in full compliance with the contractual agreement dated January 15, 2025, between the parties.</w:t>
      </w:r>
    </w:p>
    <w:p>
      <w:pPr>
        <w:pStyle w:val="BodyText"/>
      </w:pPr>
      <w:r>
        <w:rPr>
          <w:bCs/>
          <w:b/>
        </w:rPr>
        <w:t xml:space="preserve">2.</w:t>
      </w:r>
      <w:r>
        <w:t xml:space="preserve"> </w:t>
      </w:r>
      <w:r>
        <w:t xml:space="preserve">All services described in this Invoice were performed by Dr. Eleanor V. Hartwell, a licensed and credentialed Mathematician operating within the jurisdiction of the United States San Francisco metropolitan area. The Mathematician holds a Doctor of Philosophy in Applied Mathematics and maintains active membership in the Mathematical Association of America and the Society for Industrial and Applied Mathematics (SIAM).</w:t>
      </w:r>
    </w:p>
    <w:p>
      <w:pPr>
        <w:pStyle w:val="BodyText"/>
      </w:pPr>
      <w:r>
        <w:rPr>
          <w:bCs/>
          <w:b/>
        </w:rPr>
        <w:t xml:space="preserve">3.</w:t>
      </w:r>
      <w:r>
        <w:t xml:space="preserve"> </w:t>
      </w:r>
      <w:r>
        <w:t xml:space="preserve">Payment is due within thirty (30) calendar days from the date of issuance of this Invoice. Late payments will be subject to a penalty of 1.5% per month or the maximum rate permitted under California Civil Code Section 1671, whichever is less.</w:t>
      </w:r>
    </w:p>
    <w:p>
      <w:pPr>
        <w:pStyle w:val="BodyText"/>
      </w:pPr>
      <w:r>
        <w:rPr>
          <w:bCs/>
          <w:b/>
        </w:rPr>
        <w:t xml:space="preserve">4.</w:t>
      </w:r>
      <w:r>
        <w:t xml:space="preserve"> </w:t>
      </w:r>
      <w:r>
        <w:t xml:space="preserve">All intellectual property, mathematical models, algorithms, and documentation developed specifically for Bay Area Financial Technologies, Inc. under this engagement shall become the sole property of the client upon full payment of this Invoice. The Mathematician retains the right to reference the general methodology in academic publications with prior written consent.</w:t>
      </w:r>
    </w:p>
    <w:p>
      <w:pPr>
        <w:pStyle w:val="BodyText"/>
      </w:pPr>
      <w:r>
        <w:rPr>
          <w:bCs/>
          <w:b/>
        </w:rPr>
        <w:t xml:space="preserve">5.</w:t>
      </w:r>
      <w:r>
        <w:t xml:space="preserve"> </w:t>
      </w:r>
      <w:r>
        <w:t xml:space="preserve">This Invoice is valid for payment processing within the United States of America. All transactions are denominated in United States Dollars (USD). The applicable tax rates reflect the combined state and municipal tax obligations for services rendered in San Francisco, California.</w:t>
      </w:r>
    </w:p>
    <w:bookmarkEnd w:id="24"/>
    <w:bookmarkStart w:id="25" w:name="payment-instructions"/>
    <w:p>
      <w:pPr>
        <w:pStyle w:val="Heading3"/>
      </w:pPr>
      <w:r>
        <w:t xml:space="preserve">Payment Instructions</w:t>
      </w:r>
    </w:p>
    <w:p>
      <w:pPr>
        <w:pStyle w:val="FirstParagraph"/>
      </w:pPr>
      <w:r>
        <w:rPr>
          <w:bCs/>
          <w:b/>
        </w:rPr>
        <w:t xml:space="preserve">Bank Wire Transfer:</w:t>
      </w:r>
      <w:r>
        <w:t xml:space="preserve"> </w:t>
      </w:r>
      <w:r>
        <w:t xml:space="preserve">First Republic Bank, San Francisco, CA</w:t>
      </w:r>
    </w:p>
    <w:p>
      <w:pPr>
        <w:pStyle w:val="BodyText"/>
      </w:pPr>
      <w:r>
        <w:t xml:space="preserve">Account Name: Dr. Eleanor V. Hartwell – SF Math Consulting</w:t>
      </w:r>
    </w:p>
    <w:p>
      <w:pPr>
        <w:pStyle w:val="BodyText"/>
      </w:pPr>
      <w:r>
        <w:t xml:space="preserve">Account Number: 4471-8829-0034</w:t>
      </w:r>
    </w:p>
    <w:p>
      <w:pPr>
        <w:pStyle w:val="BodyText"/>
      </w:pPr>
      <w:r>
        <w:t xml:space="preserve">Routing Number (ABA): 121000248</w:t>
      </w:r>
    </w:p>
    <w:p>
      <w:pPr>
        <w:pStyle w:val="BodyText"/>
      </w:pPr>
      <w:r>
        <w:t xml:space="preserve">SWIFT Code: FRBKUS33</w:t>
      </w:r>
    </w:p>
    <w:p>
      <w:pPr>
        <w:pStyle w:val="BodyText"/>
      </w:pPr>
      <w:r>
        <w:rPr>
          <w:bCs/>
          <w:b/>
        </w:rPr>
        <w:t xml:space="preserve">Check Payment:</w:t>
      </w:r>
      <w:r>
        <w:t xml:space="preserve"> </w:t>
      </w:r>
      <w:r>
        <w:t xml:space="preserve">Make payable to "Dr. Eleanor V. Hartwell" and mail to 1480 Market Street, Suite 2200, San Francisco, CA 94102, United States.</w:t>
      </w:r>
    </w:p>
    <w:p>
      <w:pPr>
        <w:pStyle w:val="BodyText"/>
      </w:pPr>
      <w:r>
        <w:rPr>
          <w:bCs/>
          <w:b/>
        </w:rPr>
        <w:t xml:space="preserve">Electronic Payment:</w:t>
      </w:r>
      <w:r>
        <w:t xml:space="preserve"> </w:t>
      </w:r>
      <w:r>
        <w:t xml:space="preserve">ACH transfer or payment via the client portal at portal.sfmathconsulting.com using Invoice reference SFM-2025-0047.</w:t>
      </w:r>
    </w:p>
    <w:p>
      <w:pPr>
        <w:pStyle w:val="BodyText"/>
      </w:pPr>
      <w:r>
        <w:t xml:space="preserve">Please reference Invoice Number</w:t>
      </w:r>
      <w:r>
        <w:t xml:space="preserve"> </w:t>
      </w:r>
      <w:r>
        <w:rPr>
          <w:bCs/>
          <w:b/>
        </w:rPr>
        <w:t xml:space="preserve">SFM-2025-0047</w:t>
      </w:r>
      <w:r>
        <w:t xml:space="preserve"> </w:t>
      </w:r>
      <w:r>
        <w:t xml:space="preserve">on all correspondence and payment remittances.</w:t>
      </w:r>
    </w:p>
    <w:bookmarkEnd w:id="25"/>
    <w:p>
      <w:pPr>
        <w:pStyle w:val="BodyText"/>
      </w:pPr>
      <w:r>
        <w:t xml:space="preserve">Thank you for your business. This Invoice was generated by Dr. Eleanor V. Hartwell, Mathematician, San Francisco, California, United States of America.</w:t>
      </w:r>
    </w:p>
    <w:p>
      <w:pPr>
        <w:pStyle w:val="BodyText"/>
      </w:pPr>
      <w:r>
        <w:t xml:space="preserve">For questions regarding this Invoice, please contact the office at (415) 555-0187 or e.hartwell@sfmathconsulting.com.</w:t>
      </w:r>
    </w:p>
    <w:p>
      <w:pPr>
        <w:pStyle w:val="BodyText"/>
      </w:pPr>
      <w:r>
        <w:t xml:space="preserve">Dr. Eleanor V. Hartwell is a registered professional Mathematician in the State of California. License No. CA-MATH-2019-0042.</w:t>
      </w:r>
    </w:p>
    <w:p>
      <w:pPr>
        <w:pStyle w:val="BodyText"/>
      </w:pPr>
      <w:r>
        <w:t xml:space="preserve">© 2025 SF Math Consulting. All rights reserved. This document is a legally binding Invoice issued under the laws of the State of California and the United States of America.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United States San Francisco</dc:title>
  <dc:creator/>
  <dc:language>en</dc:language>
  <cp:keywords/>
  <dcterms:created xsi:type="dcterms:W3CDTF">2026-10-10T03:47:41Z</dcterms:created>
  <dcterms:modified xsi:type="dcterms:W3CDTF">2026-10-10T03:47:41Z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