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Professional Mathematician Services</w:t>
      </w:r>
    </w:p>
    <w:p>
      <w:pPr>
        <w:pStyle w:val="BodyText"/>
      </w:pPr>
      <w:r>
        <w:t xml:space="preserve">Caracas, Venezuela</w:t>
      </w:r>
    </w:p>
    <w:p>
      <w:pPr>
        <w:pStyle w:val="BodyText"/>
      </w:pPr>
      <w:r>
        <w:t xml:space="preserve">PAID</w:t>
      </w:r>
    </w:p>
    <w:bookmarkEnd w:id="20"/>
    <w:bookmarkStart w:id="21" w:name="from-service-provider"/>
    <w:p>
      <w:pPr>
        <w:pStyle w:val="Heading3"/>
      </w:pPr>
      <w:r>
        <w:t xml:space="preserve">From (Service Provider)</w:t>
      </w:r>
    </w:p>
    <w:p>
      <w:pPr>
        <w:pStyle w:val="FirstParagraph"/>
      </w:pPr>
      <w:r>
        <w:rPr>
          <w:bCs/>
          <w:b/>
        </w:rPr>
        <w:t xml:space="preserve">Dr. Alejandro Rivas Mendoza</w:t>
      </w:r>
    </w:p>
    <w:p>
      <w:pPr>
        <w:pStyle w:val="BodyText"/>
      </w:pPr>
      <w:r>
        <w:t xml:space="preserve">Senior Mathematician &amp; Quantitative Analyst</w:t>
      </w:r>
    </w:p>
    <w:p>
      <w:pPr>
        <w:pStyle w:val="BodyText"/>
      </w:pPr>
      <w:r>
        <w:t xml:space="preserve">Av. Francisco de Miranda, Torre Empresarial, Piso 14</w:t>
      </w:r>
    </w:p>
    <w:p>
      <w:pPr>
        <w:pStyle w:val="BodyText"/>
      </w:pPr>
      <w:r>
        <w:t xml:space="preserve">Chacao, Caracas, Venezuela</w:t>
      </w:r>
    </w:p>
    <w:p>
      <w:pPr>
        <w:pStyle w:val="BodyText"/>
      </w:pPr>
      <w:r>
        <w:t xml:space="preserve">RIF: J-31845672-9</w:t>
      </w:r>
    </w:p>
    <w:p>
      <w:pPr>
        <w:pStyle w:val="BodyText"/>
      </w:pPr>
      <w:r>
        <w:t xml:space="preserve">Email: a.rivas@matematicoscaracas.com.ve</w:t>
      </w:r>
    </w:p>
    <w:p>
      <w:pPr>
        <w:pStyle w:val="BodyText"/>
      </w:pPr>
      <w:r>
        <w:t xml:space="preserve">Phone: +58 (212) 555-0147</w:t>
      </w:r>
    </w:p>
    <w:bookmarkEnd w:id="21"/>
    <w:bookmarkStart w:id="22" w:name="to-client"/>
    <w:p>
      <w:pPr>
        <w:pStyle w:val="Heading3"/>
      </w:pPr>
      <w:r>
        <w:t xml:space="preserve">To (Client)</w:t>
      </w:r>
    </w:p>
    <w:p>
      <w:pPr>
        <w:pStyle w:val="FirstParagraph"/>
      </w:pPr>
      <w:r>
        <w:rPr>
          <w:bCs/>
          <w:b/>
        </w:rPr>
        <w:t xml:space="preserve">Banco Mercantil del Caribe, C.A.</w:t>
      </w:r>
    </w:p>
    <w:p>
      <w:pPr>
        <w:pStyle w:val="BodyText"/>
      </w:pPr>
      <w:r>
        <w:t xml:space="preserve">Attn: Lic. Carmen Gutiérrez, Director of Risk Management</w:t>
      </w:r>
    </w:p>
    <w:p>
      <w:pPr>
        <w:pStyle w:val="BodyText"/>
      </w:pPr>
      <w:r>
        <w:t xml:space="preserve">Av. Panteón, Edificio Financiero, Piso 8</w:t>
      </w:r>
    </w:p>
    <w:p>
      <w:pPr>
        <w:pStyle w:val="BodyText"/>
      </w:pPr>
      <w:r>
        <w:t xml:space="preserve">Chacao, Caracas, Venezuela</w:t>
      </w:r>
    </w:p>
    <w:p>
      <w:pPr>
        <w:pStyle w:val="BodyText"/>
      </w:pPr>
      <w:r>
        <w:t xml:space="preserve">RIF: J-02456789-1</w:t>
      </w:r>
    </w:p>
    <w:p>
      <w:pPr>
        <w:pStyle w:val="BodyText"/>
      </w:pPr>
      <w:r>
        <w:t xml:space="preserve">Email: c.gutierrez@bancocaribe.com.ve</w:t>
      </w:r>
    </w:p>
    <w:bookmarkEnd w:id="22"/>
    <w:p>
      <w:pPr>
        <w:pStyle w:val="BodyText"/>
      </w:pPr>
      <w:r>
        <w:rPr>
          <w:bCs/>
          <w:b/>
        </w:rPr>
        <w:t xml:space="preserve">Invoice Number:</w:t>
      </w:r>
      <w:r>
        <w:t xml:space="preserve"> </w:t>
      </w:r>
      <w:r>
        <w:t xml:space="preserve">INV-CAR-2025-00472</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March 1, 2025 – May 31, 2025</w:t>
      </w:r>
    </w:p>
    <w:p>
      <w:pPr>
        <w:pStyle w:val="BodyText"/>
      </w:pPr>
      <w:r>
        <w:rPr>
          <w:bCs/>
          <w:b/>
        </w:rPr>
        <w:t xml:space="preserve">Currency:</w:t>
      </w:r>
      <w:r>
        <w:t xml:space="preserve"> </w:t>
      </w:r>
      <w:r>
        <w:t xml:space="preserve">US Dollars (USD) / Venezuelan Bolívar Fuerte (VES)</w:t>
      </w:r>
    </w:p>
    <w:p>
      <w:pPr>
        <w:pStyle w:val="BodyText"/>
      </w:pPr>
      <w:r>
        <w:rPr>
          <w:bCs/>
          <w:b/>
        </w:rPr>
        <w:t xml:space="preserve">Payment Method:</w:t>
      </w:r>
      <w:r>
        <w:t xml:space="preserve"> </w:t>
      </w:r>
      <w:r>
        <w:t xml:space="preserve">Bank Transfer – Banco Mercantil, Account No. 0102-0045-6789-1234</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Mathematician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Advanced stochastic modeling and probabilistic risk assessment for the bank's portfolio management division. The Mathematician developed novel Monte Carlo simulation frameworks to evaluate credit risk exposure across 12,000 active loan accounts in the Caracas metropolitan region.</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002</w:t>
            </w:r>
          </w:p>
        </w:tc>
        <w:tc>
          <w:tcPr/>
          <w:p>
            <w:pPr>
              <w:pStyle w:val="Compact"/>
              <w:jc w:val="left"/>
            </w:pPr>
            <w:r>
              <w:t xml:space="preserve">Design and implementation of differential equation-based pricing models for structured financial derivatives. The Mathematician provided full analytical derivations, numerical validation, and peer-reviewed documentation aligned with international actuarial standards applicable in Venezuela Caracas financial markets.</w:t>
            </w:r>
          </w:p>
        </w:tc>
        <w:tc>
          <w:tcPr/>
          <w:p>
            <w:pPr>
              <w:pStyle w:val="Compact"/>
              <w:jc w:val="left"/>
            </w:pPr>
            <w:r>
              <w:t xml:space="preserve">96</w:t>
            </w:r>
          </w:p>
        </w:tc>
        <w:tc>
          <w:tcPr/>
          <w:p>
            <w:pPr>
              <w:pStyle w:val="Compact"/>
              <w:jc w:val="left"/>
            </w:pPr>
            <w:r>
              <w:t xml:space="preserve">$95.00</w:t>
            </w:r>
          </w:p>
        </w:tc>
        <w:tc>
          <w:tcPr/>
          <w:p>
            <w:pPr>
              <w:pStyle w:val="Compact"/>
              <w:jc w:val="left"/>
            </w:pPr>
            <w:r>
              <w:t xml:space="preserve">$9,120.00</w:t>
            </w:r>
          </w:p>
        </w:tc>
      </w:tr>
      <w:tr>
        <w:tc>
          <w:tcPr/>
          <w:p>
            <w:pPr>
              <w:pStyle w:val="Compact"/>
              <w:jc w:val="left"/>
            </w:pPr>
            <w:r>
              <w:t xml:space="preserve">003</w:t>
            </w:r>
          </w:p>
        </w:tc>
        <w:tc>
          <w:tcPr/>
          <w:p>
            <w:pPr>
              <w:pStyle w:val="Compact"/>
              <w:jc w:val="left"/>
            </w:pPr>
            <w:r>
              <w:t xml:space="preserve">Optimization of the bank's liquidity allocation strategy using linear and nonlinear programming techniques. The Mathematician formulated and solved a multi-objective optimization problem incorporating regulatory constraints imposed by the Banco Central de Venezuela.</w:t>
            </w:r>
          </w:p>
        </w:tc>
        <w:tc>
          <w:tcPr/>
          <w:p>
            <w:pPr>
              <w:pStyle w:val="Compact"/>
              <w:jc w:val="left"/>
            </w:pPr>
            <w:r>
              <w:t xml:space="preserve">72</w:t>
            </w:r>
          </w:p>
        </w:tc>
        <w:tc>
          <w:tcPr/>
          <w:p>
            <w:pPr>
              <w:pStyle w:val="Compact"/>
              <w:jc w:val="left"/>
            </w:pPr>
            <w:r>
              <w:t xml:space="preserve">$90.00</w:t>
            </w:r>
          </w:p>
        </w:tc>
        <w:tc>
          <w:tcPr/>
          <w:p>
            <w:pPr>
              <w:pStyle w:val="Compact"/>
              <w:jc w:val="left"/>
            </w:pPr>
            <w:r>
              <w:t xml:space="preserve">$6,480.00</w:t>
            </w:r>
          </w:p>
        </w:tc>
      </w:tr>
      <w:tr>
        <w:tc>
          <w:tcPr/>
          <w:p>
            <w:pPr>
              <w:pStyle w:val="Compact"/>
              <w:jc w:val="left"/>
            </w:pPr>
            <w:r>
              <w:t xml:space="preserve">004</w:t>
            </w:r>
          </w:p>
        </w:tc>
        <w:tc>
          <w:tcPr/>
          <w:p>
            <w:pPr>
              <w:pStyle w:val="Compact"/>
              <w:jc w:val="left"/>
            </w:pPr>
            <w:r>
              <w:t xml:space="preserve">Statistical analysis and machine learning model validation for fraud detection systems. The Mathematician applied Bayesian inference, spectral graph theory, and time-series decomposition to identify anomalous transaction patterns across 340 branches operating in Venezuela and the broader Caribbean region.</w:t>
            </w:r>
          </w:p>
        </w:tc>
        <w:tc>
          <w:tcPr/>
          <w:p>
            <w:pPr>
              <w:pStyle w:val="Compact"/>
              <w:jc w:val="left"/>
            </w:pPr>
            <w:r>
              <w:t xml:space="preserve">88</w:t>
            </w:r>
          </w:p>
        </w:tc>
        <w:tc>
          <w:tcPr/>
          <w:p>
            <w:pPr>
              <w:pStyle w:val="Compact"/>
              <w:jc w:val="left"/>
            </w:pPr>
            <w:r>
              <w:t xml:space="preserve">$88.00</w:t>
            </w:r>
          </w:p>
        </w:tc>
        <w:tc>
          <w:tcPr/>
          <w:p>
            <w:pPr>
              <w:pStyle w:val="Compact"/>
              <w:jc w:val="left"/>
            </w:pPr>
            <w:r>
              <w:t xml:space="preserve">$7,744.00</w:t>
            </w:r>
          </w:p>
        </w:tc>
      </w:tr>
      <w:tr>
        <w:tc>
          <w:tcPr/>
          <w:p>
            <w:pPr>
              <w:pStyle w:val="Compact"/>
              <w:jc w:val="left"/>
            </w:pPr>
            <w:r>
              <w:t xml:space="preserve">005</w:t>
            </w:r>
          </w:p>
        </w:tc>
        <w:tc>
          <w:tcPr/>
          <w:p>
            <w:pPr>
              <w:pStyle w:val="Compact"/>
              <w:jc w:val="left"/>
            </w:pPr>
            <w:r>
              <w:t xml:space="preserve">On-site training workshops for the internal quantitative analysis team. The Mathematician conducted four full-day seminars in Caracas covering topics including tensor calculus applications in finance, topological data analysis, and advanced numerical methods for partial differential equations.</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$4,400.00</w:t>
            </w:r>
          </w:p>
        </w:tc>
      </w:tr>
      <w:tr>
        <w:tc>
          <w:tcPr/>
          <w:p>
            <w:pPr>
              <w:pStyle w:val="Compact"/>
              <w:jc w:val="left"/>
            </w:pPr>
            <w:r>
              <w:t xml:space="preserve">006</w:t>
            </w:r>
          </w:p>
        </w:tc>
        <w:tc>
          <w:tcPr/>
          <w:p>
            <w:pPr>
              <w:pStyle w:val="Compact"/>
              <w:jc w:val="left"/>
            </w:pPr>
            <w:r>
              <w:t xml:space="preserve">Preparation of the final technical report and mathematical documentation package. This comprehensive deliverable includes all proofs, algorithm pseudocode, sensitivity analyses, and recommendations for the ongoing engagement of the Mathematician with the institution.</w:t>
            </w:r>
          </w:p>
        </w:tc>
        <w:tc>
          <w:tcPr/>
          <w:p>
            <w:pPr>
              <w:pStyle w:val="Compact"/>
              <w:jc w:val="left"/>
            </w:pPr>
            <w:r>
              <w:t xml:space="preserve">32</w:t>
            </w:r>
          </w:p>
        </w:tc>
        <w:tc>
          <w:tcPr/>
          <w:p>
            <w:pPr>
              <w:pStyle w:val="Compact"/>
              <w:jc w:val="left"/>
            </w:pPr>
            <w:r>
              <w:t xml:space="preserve">$80.00</w:t>
            </w:r>
          </w:p>
        </w:tc>
        <w:tc>
          <w:tcPr/>
          <w:p>
            <w:pPr>
              <w:pStyle w:val="Compact"/>
              <w:jc w:val="left"/>
            </w:pPr>
            <w:r>
              <w:t xml:space="preserve">$2,560.00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$40,504.00</w:t>
            </w:r>
          </w:p>
        </w:tc>
      </w:tr>
      <w:tr>
        <w:tc>
          <w:tcPr/>
          <w:p>
            <w:pPr>
              <w:pStyle w:val="Compact"/>
              <w:jc w:val="left"/>
            </w:pPr>
            <w:r>
              <w:t xml:space="preserve">Applicable Tax (IVA 16% – Venezuela)</w:t>
            </w:r>
          </w:p>
        </w:tc>
        <w:tc>
          <w:tcPr/>
          <w:p>
            <w:pPr>
              <w:pStyle w:val="Compact"/>
              <w:jc w:val="right"/>
            </w:pPr>
            <w:r>
              <w:t xml:space="preserve">$6,480.64</w:t>
            </w:r>
          </w:p>
        </w:tc>
      </w:tr>
      <w:tr>
        <w:tc>
          <w:tcPr/>
          <w:p>
            <w:pPr>
              <w:pStyle w:val="Compact"/>
              <w:jc w:val="left"/>
            </w:pPr>
            <w:r>
              <w:t xml:space="preserve">Travel &amp; Accommodation (Caracas)</w:t>
            </w:r>
          </w:p>
        </w:tc>
        <w:tc>
          <w:tcPr/>
          <w:p>
            <w:pPr>
              <w:pStyle w:val="Compact"/>
              <w:jc w:val="right"/>
            </w:pPr>
            <w:r>
              <w:t xml:space="preserve">$1,250.00</w:t>
            </w:r>
          </w:p>
        </w:tc>
      </w:tr>
      <w:tr>
        <w:tc>
          <w:tcPr/>
          <w:p>
            <w:pPr>
              <w:pStyle w:val="Compact"/>
              <w:jc w:val="left"/>
            </w:pPr>
            <w:r>
              <w:t xml:space="preserve">Discount (Early Payment – 3%)</w:t>
            </w:r>
          </w:p>
        </w:tc>
        <w:tc>
          <w:tcPr/>
          <w:p>
            <w:pPr>
              <w:pStyle w:val="Compact"/>
              <w:jc w:val="right"/>
            </w:pPr>
            <w:r>
              <w:t xml:space="preserve">-$1,357.62</w:t>
            </w:r>
          </w:p>
        </w:tc>
      </w:tr>
      <w:tr>
        <w:tc>
          <w:tcPr/>
          <w:p>
            <w:pPr>
              <w:pStyle w:val="Compact"/>
              <w:jc w:val="left"/>
            </w:pPr>
            <w:r>
              <w:t xml:space="preserve">GRAND TOTAL (USD)</w:t>
            </w:r>
          </w:p>
        </w:tc>
        <w:tc>
          <w:tcPr/>
          <w:p>
            <w:pPr>
              <w:pStyle w:val="Compact"/>
              <w:jc w:val="right"/>
            </w:pPr>
            <w:r>
              <w:t xml:space="preserve">$46,877.02</w:t>
            </w:r>
          </w:p>
        </w:tc>
      </w:tr>
      <w:tr>
        <w:tc>
          <w:tcPr/>
          <w:p>
            <w:pPr>
              <w:pStyle w:val="Compact"/>
              <w:jc w:val="left"/>
            </w:pPr>
            <w:r>
              <w:t xml:space="preserve">GRAND TOTAL (VES – Ref. Bs. 36.50/USD)</w:t>
            </w:r>
          </w:p>
        </w:tc>
        <w:tc>
          <w:tcPr/>
          <w:p>
            <w:pPr>
              <w:pStyle w:val="Compact"/>
              <w:jc w:val="right"/>
            </w:pPr>
            <w:r>
              <w:t xml:space="preserve">Bs. 1,711,011.23</w:t>
            </w:r>
          </w:p>
        </w:tc>
      </w:tr>
    </w:tbl>
    <w:bookmarkStart w:id="23" w:name="notes-remarks"/>
    <w:p>
      <w:pPr>
        <w:pStyle w:val="Heading3"/>
      </w:pPr>
      <w:r>
        <w:t xml:space="preserve">Notes &amp; Remarks</w:t>
      </w:r>
    </w:p>
    <w:p>
      <w:pPr>
        <w:pStyle w:val="FirstParagraph"/>
      </w:pPr>
      <w:r>
        <w:t xml:space="preserve">This Invoice has been issued in accordance with the professional services agreement (Contract No. BMC-2025-QM-019) between Dr. Alejandro Rivas Mendoza, acting as the contracted Mathematician, and Banco Mercantil del Caribe, C.A., headquartered in Caracas, Venezuela.</w:t>
      </w:r>
    </w:p>
    <w:p>
      <w:pPr>
        <w:pStyle w:val="BodyText"/>
      </w:pPr>
      <w:r>
        <w:t xml:space="preserve">All mathematical models, algorithms, and analytical frameworks developed during the service period remain the intellectual property of the client upon full settlement of this Invoice. The Mathematician retains the right to reference the engagement in academic publications with prior written consent.</w:t>
      </w:r>
    </w:p>
    <w:p>
      <w:pPr>
        <w:pStyle w:val="BodyText"/>
      </w:pPr>
      <w:r>
        <w:t xml:space="preserve">Payment is due within thirty (30) calendar days from the date of issue. Late payments shall accrue interest at the rate established by the Banco Central de Venezuela for overdue commercial obligations in Venezuela Caracas.</w:t>
      </w:r>
    </w:p>
    <w:p>
      <w:pPr>
        <w:pStyle w:val="BodyText"/>
      </w:pPr>
      <w:r>
        <w:t xml:space="preserve">This Invoice is valid for a period of ninety (90) days from the date of issue. After this period, the client must request a reissued Invoice reflecting any applicable currency adjustments.</w:t>
      </w:r>
    </w:p>
    <w:bookmarkEnd w:id="23"/>
    <w:bookmarkStart w:id="24" w:name="terms-and-conditions"/>
    <w:p>
      <w:pPr>
        <w:pStyle w:val="Heading3"/>
      </w:pPr>
      <w:r>
        <w:t xml:space="preserve">Terms and Conditions</w:t>
      </w:r>
    </w:p>
    <w:p>
      <w:pPr>
        <w:numPr>
          <w:ilvl w:val="0"/>
          <w:numId w:val="1001"/>
        </w:numPr>
        <w:pStyle w:val="Compact"/>
      </w:pPr>
      <w:r>
        <w:t xml:space="preserve">This Invoice constitutes a formal request for payment for professional Mathematician services rendered in Venezuela Caracas during the period specified above. All charges are non-refundable once the services have been performed and documented.</w:t>
      </w:r>
    </w:p>
    <w:p>
      <w:pPr>
        <w:numPr>
          <w:ilvl w:val="0"/>
          <w:numId w:val="1001"/>
        </w:numPr>
        <w:pStyle w:val="Compact"/>
      </w:pPr>
      <w:r>
        <w:t xml:space="preserve">The Mathematician warrants that all mathematical work, including but not limited to proofs, derivations, numerical computations, and statistical analyses, has been conducted with professional diligence and in compliance with the ethical standards of the Venezuelan Mathematical Society (Sociedad Venezolana de Matemática).</w:t>
      </w:r>
    </w:p>
    <w:p>
      <w:pPr>
        <w:numPr>
          <w:ilvl w:val="0"/>
          <w:numId w:val="1001"/>
        </w:numPr>
        <w:pStyle w:val="Compact"/>
      </w:pPr>
      <w:r>
        <w:t xml:space="preserve">Any disputes arising from this Invoice shall be resolved through arbitration in Caracas, Venezuela, in accordance with the Commercial Arbitration Law of the Republic of Venezuela. The governing law for this Invoice and the underlying contract is the law of Venezuela.</w:t>
      </w:r>
    </w:p>
    <w:p>
      <w:pPr>
        <w:numPr>
          <w:ilvl w:val="0"/>
          <w:numId w:val="1001"/>
        </w:numPr>
        <w:pStyle w:val="Compact"/>
      </w:pPr>
      <w:r>
        <w:t xml:space="preserve">The client acknowledges that the Mathematician operates as an independent contractor and not as an employee of Banco Mercantil del Caribe, C.A. All social security, tax, and labor obligations of the Mathematician are the sole responsibility of the service provider.</w:t>
      </w:r>
    </w:p>
    <w:p>
      <w:pPr>
        <w:numPr>
          <w:ilvl w:val="0"/>
          <w:numId w:val="1001"/>
        </w:numPr>
        <w:pStyle w:val="Compact"/>
      </w:pPr>
      <w:r>
        <w:t xml:space="preserve">This Invoice must be presented together with the corresponding Factura Fiscal issued in compliance with the regulations of the Servicio Nacional Integrado de Administración Aduanera y Fiscal (SENIAT) of Venezuela for proper accounting and tax deduction purposes.</w:t>
      </w:r>
    </w:p>
    <w:p>
      <w:pPr>
        <w:numPr>
          <w:ilvl w:val="0"/>
          <w:numId w:val="1001"/>
        </w:numPr>
        <w:pStyle w:val="Compact"/>
      </w:pPr>
      <w:r>
        <w:t xml:space="preserve">By accepting this Invoice, the client confirms that all deliverables described herein have been reviewed, tested, and approved by the designated technical committee of the institution in Caracas.</w:t>
      </w:r>
    </w:p>
    <w:bookmarkEnd w:id="24"/>
    <w:p>
      <w:pPr>
        <w:pStyle w:val="FirstParagraph"/>
      </w:pPr>
      <w:r>
        <w:t xml:space="preserve">Thank you for your business. We appreciate the opportunity to serve as your trusted Mathematician in Venezuela Caracas.</w:t>
      </w:r>
    </w:p>
    <w:p>
      <w:pPr>
        <w:pStyle w:val="BodyText"/>
      </w:pPr>
      <w:r>
        <w:t xml:space="preserve">Dr. Alejandro Rivas Mendoza – Senior Mathematician | RIF: J-31845672-9 | Caracas, Venezuela</w:t>
      </w:r>
    </w:p>
    <w:p>
      <w:pPr>
        <w:pStyle w:val="BodyText"/>
      </w:pPr>
      <w:r>
        <w:t xml:space="preserve">Invoice INV-CAR-2025-00472 |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Venezuela Caracas</dc:title>
  <dc:creator/>
  <dc:language>en</dc:language>
  <cp:keywords/>
  <dcterms:created xsi:type="dcterms:W3CDTF">2026-10-10T03:39:48Z</dcterms:created>
  <dcterms:modified xsi:type="dcterms:W3CDTF">2026-10-10T03:39:48Z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