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pex-mechanical-engineering-solutions"/>
    <w:p>
      <w:pPr>
        <w:pStyle w:val="Heading1"/>
      </w:pPr>
      <w:r>
        <w:t xml:space="preserve">Apex Mechanical Engineering Solutions</w:t>
      </w:r>
    </w:p>
    <w:p>
      <w:pPr>
        <w:pStyle w:val="FirstParagraph"/>
      </w:pPr>
      <w:r>
        <w:t xml:space="preserve">Level 12, 123 Collins Street</w:t>
      </w:r>
    </w:p>
    <w:p>
      <w:pPr>
        <w:pStyle w:val="BodyText"/>
      </w:pPr>
      <w:r>
        <w:t xml:space="preserve">Melbourne VIC 3000</w:t>
      </w:r>
    </w:p>
    <w:p>
      <w:pPr>
        <w:pStyle w:val="BodyText"/>
      </w:pPr>
      <w:r>
        <w:t xml:space="preserve">Australia</w:t>
      </w:r>
    </w:p>
    <w:p>
      <w:pPr>
        <w:pStyle w:val="BodyText"/>
      </w:pPr>
      <w:r>
        <w:t xml:space="preserve">ABN: 12 345 678 901</w:t>
      </w:r>
    </w:p>
    <w:p>
      <w:pPr>
        <w:pStyle w:val="BodyText"/>
      </w:pPr>
      <w:r>
        <w:t xml:space="preserve">Phone: +61 3 9000 0000</w:t>
      </w:r>
    </w:p>
    <w:p>
      <w:pPr>
        <w:pStyle w:val="BodyText"/>
      </w:pPr>
      <w:r>
        <w:t xml:space="preserve">Email: accounts@apexmechanical.com.au</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Metro Commercial Developments Pty Ltd</w:t>
      </w:r>
    </w:p>
    <w:p>
      <w:pPr>
        <w:pStyle w:val="BodyText"/>
      </w:pPr>
      <w:r>
        <w:t xml:space="preserve">45 Flinders Lane</w:t>
      </w:r>
    </w:p>
    <w:p>
      <w:pPr>
        <w:pStyle w:val="BodyText"/>
      </w:pPr>
      <w:r>
        <w:t xml:space="preserve">Melbourne VIC 3000</w:t>
      </w:r>
    </w:p>
    <w:p>
      <w:pPr>
        <w:pStyle w:val="BodyText"/>
      </w:pPr>
      <w:r>
        <w:t xml:space="preserve">Australia</w:t>
      </w:r>
    </w:p>
    <w:p>
      <w:pPr>
        <w:pStyle w:val="BodyText"/>
      </w:pPr>
      <w:r>
        <w:t xml:space="preserve">ABN: 98 765 432 109</w:t>
      </w:r>
    </w:p>
    <w:p>
      <w:pPr>
        <w:pStyle w:val="BodyText"/>
      </w:pPr>
      <w:r>
        <w:t xml:space="preserve">Attn: Procurement Department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MEL-CBD-HVAC-UPGRADE-2023</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Senior Mechanical Engineer Consultation &amp; Site Audit</w:t>
            </w:r>
            <w:r>
              <w:br/>
            </w:r>
            <w:r>
              <w:t xml:space="preserve">Comprehensive on-site assessment of existing HVAC infrastructure at the Collins Street commercial precinct. This service includes thermal imaging analysis, airflow measurement, and compliance verification against the National Construction Code (NCC) Volume One. The Mechanical Engineer evaluated the efficiency of current chillers and identified critical bottlenecks affecting energy consumption.</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2</w:t>
            </w:r>
          </w:p>
        </w:tc>
        <w:tc>
          <w:tcPr/>
          <w:p>
            <w:pPr>
              <w:pStyle w:val="Compact"/>
              <w:jc w:val="left"/>
            </w:pPr>
            <w:r>
              <w:rPr>
                <w:bCs/>
                <w:b/>
              </w:rPr>
              <w:t xml:space="preserve">MEP Design &amp; Engineering Calculations</w:t>
            </w:r>
            <w:r>
              <w:br/>
            </w:r>
            <w:r>
              <w:t xml:space="preserve">Detailed mechanical engineering design for the new Variable Refrigerant Flow (VRF) system. This includes load calculations using HAP software, ductwork sizing, and hydraulic calculations for the chilled water plant. All designs adhere to Australian Standards (AS/NZS) and are optimized for the specific climatic conditions of Melbourne.</w:t>
            </w:r>
          </w:p>
        </w:tc>
        <w:tc>
          <w:tcPr/>
          <w:p>
            <w:pPr>
              <w:pStyle w:val="Compact"/>
              <w:jc w:val="left"/>
            </w:pPr>
            <w:r>
              <w:t xml:space="preserve">45.5</w:t>
            </w:r>
          </w:p>
        </w:tc>
        <w:tc>
          <w:tcPr/>
          <w:p>
            <w:pPr>
              <w:pStyle w:val="Compact"/>
              <w:jc w:val="left"/>
            </w:pPr>
            <w:r>
              <w:t xml:space="preserve">285.00</w:t>
            </w:r>
          </w:p>
        </w:tc>
        <w:tc>
          <w:tcPr/>
          <w:p>
            <w:pPr>
              <w:pStyle w:val="Compact"/>
              <w:jc w:val="left"/>
            </w:pPr>
            <w:r>
              <w:t xml:space="preserve">12,967.50</w:t>
            </w:r>
          </w:p>
        </w:tc>
      </w:tr>
      <w:tr>
        <w:tc>
          <w:tcPr/>
          <w:p>
            <w:pPr>
              <w:pStyle w:val="Compact"/>
              <w:jc w:val="left"/>
            </w:pPr>
            <w:r>
              <w:t xml:space="preserve">3</w:t>
            </w:r>
          </w:p>
        </w:tc>
        <w:tc>
          <w:tcPr/>
          <w:p>
            <w:pPr>
              <w:pStyle w:val="Compact"/>
              <w:jc w:val="left"/>
            </w:pPr>
            <w:r>
              <w:rPr>
                <w:bCs/>
                <w:b/>
              </w:rPr>
              <w:t xml:space="preserve">Technical Documentation &amp; Compliance Reporting</w:t>
            </w:r>
            <w:r>
              <w:br/>
            </w:r>
            <w:r>
              <w:t xml:space="preserve">Preparation of technical specifications, tender documents, and compliance certificates required by the Building Commissioner of Victoria. The Mechanical Engineer has prepared detailed schematics and a risk assessment report ensuring all mechanical systems meet the safety and sustainability requirements for high-rise buildings in Australia Melbourne.</w:t>
            </w:r>
          </w:p>
        </w:tc>
        <w:tc>
          <w:tcPr/>
          <w:p>
            <w:pPr>
              <w:pStyle w:val="Compact"/>
              <w:jc w:val="left"/>
            </w:pPr>
            <w:r>
              <w:t xml:space="preserve">18.0</w:t>
            </w:r>
          </w:p>
        </w:tc>
        <w:tc>
          <w:tcPr/>
          <w:p>
            <w:pPr>
              <w:pStyle w:val="Compact"/>
              <w:jc w:val="left"/>
            </w:pPr>
            <w:r>
              <w:t xml:space="preserve">285.00</w:t>
            </w:r>
          </w:p>
        </w:tc>
        <w:tc>
          <w:tcPr/>
          <w:p>
            <w:pPr>
              <w:pStyle w:val="Compact"/>
              <w:jc w:val="left"/>
            </w:pPr>
            <w:r>
              <w:t xml:space="preserve">5,130.00</w:t>
            </w:r>
          </w:p>
        </w:tc>
      </w:tr>
      <w:tr>
        <w:tc>
          <w:tcPr/>
          <w:p>
            <w:pPr>
              <w:pStyle w:val="Compact"/>
              <w:jc w:val="left"/>
            </w:pPr>
            <w:r>
              <w:t xml:space="preserve">4</w:t>
            </w:r>
          </w:p>
        </w:tc>
        <w:tc>
          <w:tcPr/>
          <w:p>
            <w:pPr>
              <w:pStyle w:val="Compact"/>
              <w:jc w:val="left"/>
            </w:pPr>
            <w:r>
              <w:rPr>
                <w:bCs/>
                <w:b/>
              </w:rPr>
              <w:t xml:space="preserve">Project Management &amp; Contractor Liaison</w:t>
            </w:r>
            <w:r>
              <w:br/>
            </w:r>
            <w:r>
              <w:t xml:space="preserve">Coordination with electrical and civil engineering teams to ensure seamless integration of mechanical systems. This includes attending site progress meetings, reviewing subcontractor submissions, and providing technical guidance during the installation phase of the mechanical plant room.</w:t>
            </w:r>
          </w:p>
        </w:tc>
        <w:tc>
          <w:tcPr/>
          <w:p>
            <w:pPr>
              <w:pStyle w:val="Compact"/>
              <w:jc w:val="left"/>
            </w:pPr>
            <w:r>
              <w:t xml:space="preserve">20.0</w:t>
            </w:r>
          </w:p>
        </w:tc>
        <w:tc>
          <w:tcPr/>
          <w:p>
            <w:pPr>
              <w:pStyle w:val="Compact"/>
              <w:jc w:val="left"/>
            </w:pPr>
            <w:r>
              <w:t xml:space="preserve">285.00</w:t>
            </w:r>
          </w:p>
        </w:tc>
        <w:tc>
          <w:tcPr/>
          <w:p>
            <w:pPr>
              <w:pStyle w:val="Compact"/>
              <w:jc w:val="left"/>
            </w:pPr>
            <w:r>
              <w:t xml:space="preserve">5,700.00</w:t>
            </w:r>
          </w:p>
        </w:tc>
      </w:tr>
      <w:tr>
        <w:tc>
          <w:tcPr/>
          <w:p>
            <w:pPr>
              <w:pStyle w:val="Compact"/>
              <w:jc w:val="left"/>
            </w:pPr>
            <w:r>
              <w:t xml:space="preserve">5</w:t>
            </w:r>
          </w:p>
        </w:tc>
        <w:tc>
          <w:tcPr/>
          <w:p>
            <w:pPr>
              <w:pStyle w:val="Compact"/>
              <w:jc w:val="left"/>
            </w:pPr>
            <w:r>
              <w:rPr>
                <w:bCs/>
                <w:b/>
              </w:rPr>
              <w:t xml:space="preserve">Specialized Software Licensing &amp; Analysis Tools</w:t>
            </w:r>
            <w:r>
              <w:br/>
            </w:r>
            <w:r>
              <w:t xml:space="preserve">Reimbursement for specialized engineering software licenses used for Computational Fluid Dynamics (CFD) analysis to optimize natural ventilation strategies within the building envelope.</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$28,417.50</w:t>
      </w:r>
    </w:p>
    <w:p>
      <w:pPr>
        <w:pStyle w:val="BodyText"/>
      </w:pPr>
      <w:r>
        <w:t xml:space="preserve">GST (10%):</w:t>
      </w:r>
      <w:r>
        <w:t xml:space="preserve"> </w:t>
      </w:r>
      <w:r>
        <w:t xml:space="preserve">$2,841.75</w:t>
      </w:r>
    </w:p>
    <w:p>
      <w:pPr>
        <w:pStyle w:val="BodyText"/>
      </w:pPr>
      <w:r>
        <w:t xml:space="preserve">TOTAL DUE (AUD):</w:t>
      </w:r>
      <w:r>
        <w:t xml:space="preserve"> </w:t>
      </w:r>
      <w:r>
        <w:t xml:space="preserve">$31,259.25</w:t>
      </w:r>
    </w:p>
    <w:bookmarkStart w:id="24" w:name="payment-instructions"/>
    <w:p>
      <w:pPr>
        <w:pStyle w:val="Heading4"/>
      </w:pPr>
      <w:r>
        <w:t xml:space="preserve">Payment Instructions:</w:t>
      </w:r>
    </w:p>
    <w:p>
      <w:pPr>
        <w:pStyle w:val="FirstParagraph"/>
      </w:pPr>
      <w:r>
        <w:t xml:space="preserve">Please make payment via Electronic Funds Transfer (EFT) to the following bank account:</w:t>
      </w:r>
    </w:p>
    <w:p>
      <w:pPr>
        <w:pStyle w:val="BodyText"/>
      </w:pPr>
      <w:r>
        <w:rPr>
          <w:bCs/>
          <w:b/>
        </w:rPr>
        <w:t xml:space="preserve">Bank:</w:t>
      </w:r>
      <w:r>
        <w:t xml:space="preserve"> </w:t>
      </w:r>
      <w:r>
        <w:t xml:space="preserve">National Australia Bank (NAB)</w:t>
      </w:r>
      <w:r>
        <w:br/>
      </w:r>
      <w:r>
        <w:rPr>
          <w:bCs/>
          <w:b/>
        </w:rPr>
        <w:t xml:space="preserve">BSB:</w:t>
      </w:r>
      <w:r>
        <w:t xml:space="preserve"> </w:t>
      </w:r>
      <w:r>
        <w:t xml:space="preserve">082-001</w:t>
      </w:r>
      <w:r>
        <w:br/>
      </w:r>
      <w:r>
        <w:rPr>
          <w:bCs/>
          <w:b/>
        </w:rPr>
        <w:t xml:space="preserve">Account Name:</w:t>
      </w:r>
      <w:r>
        <w:t xml:space="preserve"> </w:t>
      </w:r>
      <w:r>
        <w:t xml:space="preserve">Apex Mechanical Engineering Solutions Pty Ltd</w:t>
      </w:r>
      <w:r>
        <w:br/>
      </w:r>
      <w:r>
        <w:rPr>
          <w:bCs/>
          <w:b/>
        </w:rPr>
        <w:t xml:space="preserve">Account Number:</w:t>
      </w:r>
      <w:r>
        <w:t xml:space="preserve"> </w:t>
      </w:r>
      <w:r>
        <w:t xml:space="preserve">1234 5678</w:t>
      </w:r>
      <w:r>
        <w:br/>
      </w: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pStyle w:val="FirstParagraph"/>
      </w:pPr>
      <w:r>
        <w:t xml:space="preserve">1. This Invoice is issued in accordance with the Australian Taxation Office (ATO) requirements for Tax Invoices.</w:t>
      </w:r>
      <w:r>
        <w:br/>
      </w:r>
      <w:r>
        <w:t xml:space="preserve">2. Payment is due within 30 days of the invoice date. Late payments may incur interest charges at the rate of 10% per annum.</w:t>
      </w:r>
      <w:r>
        <w:br/>
      </w:r>
      <w:r>
        <w:t xml:space="preserve">3. All services provided by our Mechanical Engineer are subject to our standard terms of engagement, which include liability limitations and intellectual property rights regarding design documents.</w:t>
      </w:r>
      <w:r>
        <w:br/>
      </w:r>
      <w:r>
        <w:t xml:space="preserve">4. Please quote the Invoice Number on all payments to ensure correct allocation.</w:t>
      </w:r>
      <w:r>
        <w:br/>
      </w:r>
      <w:r>
        <w:t xml:space="preserve">5. If you have any queries regarding this Invoice or the engineering services provided, please contact our accounts department immediately.</w:t>
      </w:r>
    </w:p>
    <w:bookmarkEnd w:id="25"/>
    <w:p>
      <w:pPr>
        <w:pStyle w:val="BodyText"/>
      </w:pPr>
      <w:r>
        <w:t xml:space="preserve">Thank you for your business. We appreciate the opportunity to contribute to the infrastructure of Australia Melbourne.</w:t>
      </w:r>
    </w:p>
    <w:p>
      <w:pPr>
        <w:pStyle w:val="BodyText"/>
      </w:pPr>
      <w:r>
        <w:t xml:space="preserve">Apex Mechanical Engineering Solutions Pty Ltd | ABN 12 345 678 901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2026-10-10T02:27:29Z</dcterms:created>
  <dcterms:modified xsi:type="dcterms:W3CDTF">2026-10-10T02:27:29Z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