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dvanced-mechanical-solutions-ltd."/>
    <w:p>
      <w:pPr>
        <w:pStyle w:val="Heading1"/>
      </w:pPr>
      <w:r>
        <w:t xml:space="preserve">Advanced Mechanical Solutions Ltd.</w:t>
      </w:r>
    </w:p>
    <w:p>
      <w:pPr>
        <w:pStyle w:val="FirstParagraph"/>
      </w:pPr>
      <w:r>
        <w:t xml:space="preserve">12 HaYarkon Street, Tel Aviv-Yafo, Israel</w:t>
      </w:r>
    </w:p>
    <w:p>
      <w:pPr>
        <w:pStyle w:val="BodyText"/>
      </w:pPr>
      <w:r>
        <w:t xml:space="preserve">VAT ID (HPR): 517000000</w:t>
      </w:r>
    </w:p>
    <w:p>
      <w:pPr>
        <w:pStyle w:val="BodyText"/>
      </w:pPr>
      <w:r>
        <w:t xml:space="preserve">Phone: +972-3-555-0199</w:t>
      </w:r>
    </w:p>
    <w:p>
      <w:pPr>
        <w:pStyle w:val="BodyText"/>
      </w:pPr>
      <w:r>
        <w:t xml:space="preserve">Email: billing@ams-telaviv.co.il</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rPr>
          <w:bCs/>
          <w:b/>
        </w:rPr>
        <w:t xml:space="preserve">Billed To:</w:t>
      </w:r>
      <w:r>
        <w:br/>
      </w:r>
      <w:r>
        <w:t xml:space="preserve">Horizon Construction &amp; Development</w:t>
      </w:r>
      <w:r>
        <w:br/>
      </w:r>
      <w:r>
        <w:t xml:space="preserve">Attn: Mr. David Cohen</w:t>
      </w:r>
      <w:r>
        <w:br/>
      </w:r>
      <w:r>
        <w:t xml:space="preserve">45 Rothschild Boulevard</w:t>
      </w:r>
      <w:r>
        <w:br/>
      </w:r>
      <w:r>
        <w:t xml:space="preserve">Tel Aviv, 6688101, Israel</w:t>
      </w:r>
      <w:r>
        <w:br/>
      </w:r>
      <w:r>
        <w:t xml:space="preserve">VAT ID: 518000000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INV-TLV-2023-089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Currency:</w:t>
            </w:r>
          </w:p>
        </w:tc>
        <w:tc>
          <w:tcPr/>
          <w:p>
            <w:pPr>
              <w:pStyle w:val="Compact"/>
              <w:jc w:val="left"/>
            </w:pPr>
            <w:r>
              <w:t xml:space="preserve">ILS (New Israeli Shekel)</w:t>
            </w:r>
          </w:p>
        </w:tc>
      </w:tr>
    </w:tbl>
    <w:p>
      <w:pPr>
        <w:pStyle w:val="BodyText"/>
      </w:pPr>
      <w:r>
        <w:rPr>
          <w:bCs/>
          <w:b/>
        </w:rPr>
        <w:t xml:space="preserve">Project Overview:</w:t>
      </w:r>
      <w:r>
        <w:br/>
      </w:r>
      <w:r>
        <w:t xml:space="preserve">This Invoice represents the final settlement for the comprehensive mechanical engineering consultancy provided for the "Green Tower" HVAC and structural integrity project located in the Tel Aviv district. The services rendered align with the strict building codes of the State of Israel and international engineering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Detailed analysis of thermal dynamics and fluid mechanics for the central cooling plant. This phase involved site visits in Tel Aviv to assess ambient temperature variables and humidity levels specific to the coastal climate, ensuring the HVAC system is optimized for local environmental conditions.</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2</w:t>
            </w:r>
          </w:p>
        </w:tc>
        <w:tc>
          <w:tcPr/>
          <w:p>
            <w:pPr>
              <w:pStyle w:val="Compact"/>
              <w:jc w:val="left"/>
            </w:pPr>
            <w:r>
              <w:rPr>
                <w:bCs/>
                <w:b/>
              </w:rPr>
              <w:t xml:space="preserve">Structural Integrity &amp; Load Analysis:</w:t>
            </w:r>
            <w:r>
              <w:br/>
            </w:r>
            <w:r>
              <w:t xml:space="preserve">Comprehensive stress testing simulations for the mechanical load-bearing components of the elevator shafts. The Mechanical Engineer utilized advanced Finite Element Analysis (FEA) software to verify compliance with Israeli safety regulations regarding high-rise structural loads.</w:t>
            </w:r>
          </w:p>
        </w:tc>
        <w:tc>
          <w:tcPr/>
          <w:p>
            <w:pPr>
              <w:pStyle w:val="Compact"/>
              <w:jc w:val="left"/>
            </w:pPr>
            <w:r>
              <w:t xml:space="preserve">25</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3</w:t>
            </w:r>
          </w:p>
        </w:tc>
        <w:tc>
          <w:tcPr/>
          <w:p>
            <w:pPr>
              <w:pStyle w:val="Compact"/>
              <w:jc w:val="left"/>
            </w:pPr>
            <w:r>
              <w:rPr>
                <w:bCs/>
                <w:b/>
              </w:rPr>
              <w:t xml:space="preserve">Technical Documentation &amp; CAD Drafting:</w:t>
            </w:r>
            <w:r>
              <w:br/>
            </w:r>
            <w:r>
              <w:t xml:space="preserve">Production of detailed blueprints and schematics for the piping and ductwork systems. All documentation was prepared in accordance with the specific municipal requirements of the Tel Aviv-Yafo municipality, ensuring seamless approval processes for the construction phase.</w:t>
            </w:r>
          </w:p>
        </w:tc>
        <w:tc>
          <w:tcPr/>
          <w:p>
            <w:pPr>
              <w:pStyle w:val="Compact"/>
              <w:jc w:val="left"/>
            </w:pPr>
            <w:r>
              <w:t xml:space="preserve">30</w:t>
            </w:r>
          </w:p>
        </w:tc>
        <w:tc>
          <w:tcPr/>
          <w:p>
            <w:pPr>
              <w:pStyle w:val="Compact"/>
              <w:jc w:val="left"/>
            </w:pPr>
            <w:r>
              <w:t xml:space="preserve">550.00</w:t>
            </w:r>
          </w:p>
        </w:tc>
        <w:tc>
          <w:tcPr/>
          <w:p>
            <w:pPr>
              <w:pStyle w:val="Compact"/>
              <w:jc w:val="left"/>
            </w:pPr>
            <w:r>
              <w:t xml:space="preserve">16,500.00</w:t>
            </w:r>
          </w:p>
        </w:tc>
      </w:tr>
      <w:tr>
        <w:tc>
          <w:tcPr/>
          <w:p>
            <w:pPr>
              <w:pStyle w:val="Compact"/>
              <w:jc w:val="left"/>
            </w:pPr>
            <w:r>
              <w:t xml:space="preserve">4</w:t>
            </w:r>
          </w:p>
        </w:tc>
        <w:tc>
          <w:tcPr/>
          <w:p>
            <w:pPr>
              <w:pStyle w:val="Compact"/>
              <w:jc w:val="left"/>
            </w:pPr>
            <w:r>
              <w:rPr>
                <w:bCs/>
                <w:b/>
              </w:rPr>
              <w:t xml:space="preserve">Energy Efficiency Optimization:</w:t>
            </w:r>
            <w:r>
              <w:br/>
            </w:r>
            <w:r>
              <w:t xml:space="preserve">Strategic planning for energy recovery systems within the mechanical infrastructure. The goal was to reduce the carbon footprint of the building in line with Israel's national sustainability goals, utilizing heat exchangers and variable frequency drives.</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5</w:t>
            </w:r>
          </w:p>
        </w:tc>
        <w:tc>
          <w:tcPr/>
          <w:p>
            <w:pPr>
              <w:pStyle w:val="Compact"/>
              <w:jc w:val="left"/>
            </w:pPr>
            <w:r>
              <w:rPr>
                <w:bCs/>
                <w:b/>
              </w:rPr>
              <w:t xml:space="preserve">On-Site Supervision &amp; Quality Assurance:</w:t>
            </w:r>
            <w:r>
              <w:br/>
            </w:r>
            <w:r>
              <w:t xml:space="preserve">Direct oversight by the lead Mechanical Engineer during the installation of critical mechanical systems. This ensured that all fabrication and assembly met the precise tolerances required for the project's success.</w:t>
            </w:r>
          </w:p>
        </w:tc>
        <w:tc>
          <w:tcPr/>
          <w:p>
            <w:pPr>
              <w:pStyle w:val="Compact"/>
              <w:jc w:val="left"/>
            </w:pPr>
            <w:r>
              <w:t xml:space="preserve">20</w:t>
            </w:r>
          </w:p>
        </w:tc>
        <w:tc>
          <w:tcPr/>
          <w:p>
            <w:pPr>
              <w:pStyle w:val="Compact"/>
              <w:jc w:val="left"/>
            </w:pPr>
            <w:r>
              <w:t xml:space="preserve">700.00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82,500.00 ILS</w:t>
            </w:r>
          </w:p>
        </w:tc>
      </w:tr>
      <w:tr>
        <w:tc>
          <w:tcPr/>
          <w:p>
            <w:pPr>
              <w:pStyle w:val="Compact"/>
              <w:jc w:val="left"/>
            </w:pPr>
            <w:r>
              <w:t xml:space="preserve">VAT (17%):</w:t>
            </w:r>
          </w:p>
        </w:tc>
        <w:tc>
          <w:tcPr/>
          <w:p>
            <w:pPr>
              <w:pStyle w:val="Compact"/>
              <w:jc w:val="left"/>
            </w:pPr>
            <w:r>
              <w:t xml:space="preserve">14,025.00 ILS</w:t>
            </w:r>
          </w:p>
        </w:tc>
      </w:tr>
      <w:tr>
        <w:tc>
          <w:tcPr/>
          <w:p>
            <w:pPr>
              <w:pStyle w:val="Compact"/>
              <w:jc w:val="left"/>
            </w:pPr>
            <w:r>
              <w:t xml:space="preserve">Total Due:</w:t>
            </w:r>
          </w:p>
        </w:tc>
        <w:tc>
          <w:tcPr/>
          <w:p>
            <w:pPr>
              <w:pStyle w:val="Compact"/>
              <w:jc w:val="left"/>
            </w:pPr>
            <w:r>
              <w:t xml:space="preserve">96,525.00 ILS</w:t>
            </w:r>
          </w:p>
        </w:tc>
      </w:tr>
    </w:tbl>
    <w:p>
      <w:pPr>
        <w:pStyle w:val="BodyText"/>
      </w:pPr>
      <w:r>
        <w:t xml:space="preserve">* VAT is calculated in accordance with the Value Added Tax Law, 5736-1975 of the State of Israel.</w:t>
      </w:r>
    </w:p>
    <w:p>
      <w:pPr>
        <w:pStyle w:val="BodyText"/>
      </w:pPr>
      <w:r>
        <w:rPr>
          <w:bCs/>
          <w:b/>
        </w:rPr>
        <w:t xml:space="preserve">Payment Instructions:</w:t>
      </w:r>
      <w:r>
        <w:br/>
      </w:r>
      <w:r>
        <w:t xml:space="preserve">Please transfer the total amount to the following bank account within 30 days of the invoice date:</w:t>
      </w:r>
      <w:r>
        <w:br/>
      </w:r>
      <w:r>
        <w:rPr>
          <w:bCs/>
          <w:b/>
        </w:rPr>
        <w:t xml:space="preserve">Bank:</w:t>
      </w:r>
      <w:r>
        <w:t xml:space="preserve"> </w:t>
      </w:r>
      <w:r>
        <w:t xml:space="preserve">Bank Hapoalim</w:t>
      </w:r>
      <w:r>
        <w:br/>
      </w:r>
      <w:r>
        <w:rPr>
          <w:bCs/>
          <w:b/>
        </w:rPr>
        <w:t xml:space="preserve">Branch:</w:t>
      </w:r>
      <w:r>
        <w:t xml:space="preserve"> </w:t>
      </w:r>
      <w:r>
        <w:t xml:space="preserve">Tel Aviv Central</w:t>
      </w:r>
      <w:r>
        <w:br/>
      </w:r>
      <w:r>
        <w:rPr>
          <w:bCs/>
          <w:b/>
        </w:rPr>
        <w:t xml:space="preserve">Account Name:</w:t>
      </w:r>
      <w:r>
        <w:t xml:space="preserve"> </w:t>
      </w:r>
      <w:r>
        <w:t xml:space="preserve">Advanced Mechanical Solutions Ltd.</w:t>
      </w:r>
      <w:r>
        <w:br/>
      </w:r>
      <w:r>
        <w:rPr>
          <w:bCs/>
          <w:b/>
        </w:rPr>
        <w:t xml:space="preserve">Account Number:</w:t>
      </w:r>
      <w:r>
        <w:t xml:space="preserve"> </w:t>
      </w:r>
      <w:r>
        <w:t xml:space="preserve">9999-8888-7777</w:t>
      </w:r>
      <w:r>
        <w:br/>
      </w:r>
      <w:r>
        <w:rPr>
          <w:bCs/>
          <w:b/>
        </w:rPr>
        <w:t xml:space="preserve">SWIFT/BIC:</w:t>
      </w:r>
      <w:r>
        <w:t xml:space="preserve"> </w:t>
      </w:r>
      <w:r>
        <w:t xml:space="preserve">HAPoilmm</w:t>
      </w:r>
      <w:r>
        <w:br/>
      </w:r>
      <w:r>
        <w:br/>
      </w:r>
      <w:r>
        <w:rPr>
          <w:iCs/>
          <w:i/>
        </w:rPr>
        <w:t xml:space="preserve">Note: Please reference Invoice Number INV-TLV-2023-089 in the payment description.</w:t>
      </w:r>
    </w:p>
    <w:p>
      <w:pPr>
        <w:pStyle w:val="BodyText"/>
      </w:pPr>
      <w:r>
        <w:rPr>
          <w:bCs/>
          <w:b/>
        </w:rPr>
        <w:t xml:space="preserve">Terms and Conditions:</w:t>
      </w:r>
      <w:r>
        <w:br/>
      </w:r>
      <w:r>
        <w:t xml:space="preserve">1. Payment is due within 30 days of the invoice date. Late payments may incur a penalty interest rate as per Israeli law.</w:t>
      </w:r>
      <w:r>
        <w:br/>
      </w:r>
      <w:r>
        <w:t xml:space="preserve">2. All engineering services provided by the Mechanical Engineer are subject to the professional standards of the Engineers Association of Israel.</w:t>
      </w:r>
      <w:r>
        <w:br/>
      </w:r>
      <w:r>
        <w:t xml:space="preserve">3. This Invoice serves as a formal request for payment for services rendered in Tel Aviv, Israel. Any disputes regarding the scope of work must be raised within 14 days of receipt.</w:t>
      </w:r>
      <w:r>
        <w:br/>
      </w:r>
      <w:r>
        <w:t xml:space="preserve">4. Intellectual property rights for all designs and calculations remain with Advanced Mechanical Solutions Ltd. until full payment is received.</w:t>
      </w:r>
    </w:p>
    <w:p>
      <w:pPr>
        <w:pStyle w:val="BodyText"/>
      </w:pPr>
      <w:r>
        <w:t xml:space="preserve">Thank you for your business. We appreciate the opportunity to contribute to the infrastructure of Tel Aviv with our mechanical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2026-10-10T02:33:45Z</dcterms:created>
  <dcterms:modified xsi:type="dcterms:W3CDTF">2026-10-10T02:33:45Z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