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moscow-precision-engineering-ltd."/>
    <w:p>
      <w:pPr>
        <w:pStyle w:val="Heading1"/>
      </w:pPr>
      <w:r>
        <w:t xml:space="preserve">Moscow Precision Engineering Ltd.</w:t>
      </w:r>
    </w:p>
    <w:p>
      <w:pPr>
        <w:pStyle w:val="FirstParagraph"/>
      </w:pPr>
      <w:r>
        <w:t xml:space="preserve">12/4 Tverskaya Street, Building 3</w:t>
      </w:r>
    </w:p>
    <w:p>
      <w:pPr>
        <w:pStyle w:val="BodyText"/>
      </w:pPr>
      <w:r>
        <w:t xml:space="preserve">Tverskoy District, Moscow, 125009</w:t>
      </w:r>
    </w:p>
    <w:p>
      <w:pPr>
        <w:pStyle w:val="BodyText"/>
      </w:pPr>
      <w:r>
        <w:t xml:space="preserve">Russia</w:t>
      </w:r>
    </w:p>
    <w:p>
      <w:pPr>
        <w:pStyle w:val="BodyText"/>
      </w:pPr>
      <w:r>
        <w:t xml:space="preserve">Tel: +7 (495) 123-45-67</w:t>
      </w:r>
    </w:p>
    <w:p>
      <w:pPr>
        <w:pStyle w:val="BodyText"/>
      </w:pPr>
      <w:r>
        <w:t xml:space="preserve">Email: billing@moscowprecision.ru</w:t>
      </w:r>
    </w:p>
    <w:p>
      <w:pPr>
        <w:pStyle w:val="BodyText"/>
      </w:pPr>
      <w:r>
        <w:t xml:space="preserve">OGRN: 1127746000000 | INN: 7700000000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Industrial Solutions Group LLC</w:t>
      </w:r>
    </w:p>
    <w:p>
      <w:pPr>
        <w:pStyle w:val="BodyText"/>
      </w:pPr>
      <w:r>
        <w:t xml:space="preserve">Attn: Procurement Department</w:t>
      </w:r>
    </w:p>
    <w:p>
      <w:pPr>
        <w:pStyle w:val="BodyText"/>
      </w:pPr>
      <w:r>
        <w:t xml:space="preserve">45 Leninsky Prospekt</w:t>
      </w:r>
    </w:p>
    <w:p>
      <w:pPr>
        <w:pStyle w:val="BodyText"/>
      </w:pPr>
      <w:r>
        <w:t xml:space="preserve">Moscow, 119991</w:t>
      </w:r>
    </w:p>
    <w:p>
      <w:pPr>
        <w:pStyle w:val="BodyText"/>
      </w:pPr>
      <w:r>
        <w:t xml:space="preserve">Russia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INV-RU-2023-0892</w:t>
      </w:r>
    </w:p>
    <w:p>
      <w:pPr>
        <w:pStyle w:val="BodyText"/>
      </w:pPr>
      <w:r>
        <w:rPr>
          <w:bCs/>
          <w:b/>
        </w:rPr>
        <w:t xml:space="preserve">Project Reference:</w:t>
      </w:r>
      <w:r>
        <w:t xml:space="preserve"> </w:t>
      </w:r>
      <w:r>
        <w:t xml:space="preserve">MEP-Upgrade-MOW-2023</w:t>
      </w:r>
    </w:p>
    <w:p>
      <w:pPr>
        <w:pStyle w:val="BodyText"/>
      </w:pPr>
      <w:r>
        <w:rPr>
          <w:bCs/>
          <w:b/>
        </w:rPr>
        <w:t xml:space="preserve">Service Location:</w:t>
      </w:r>
      <w:r>
        <w:t xml:space="preserve"> </w:t>
      </w:r>
      <w:r>
        <w:t xml:space="preserve">Moscow, Russia</w:t>
      </w:r>
    </w:p>
    <w:p>
      <w:pPr>
        <w:pStyle w:val="BodyText"/>
      </w:pPr>
      <w:r>
        <w:rPr>
          <w:bCs/>
          <w:b/>
        </w:rPr>
        <w:t xml:space="preserve">Currency:</w:t>
      </w:r>
      <w:r>
        <w:t xml:space="preserve"> </w:t>
      </w:r>
      <w:r>
        <w:t xml:space="preserve">Russian Ruble (RUB)</w:t>
      </w:r>
    </w:p>
    <w:bookmarkEnd w:id="23"/>
    <w:p>
      <w:pPr>
        <w:pStyle w:val="BodyText"/>
      </w:pPr>
      <w:r>
        <w:t xml:space="preserve">This invoice represents the professional services rendered by a certified Mechanical Engineer specializing in industrial automation and HVAC systems optimization. The work was conducted in strict accordance with the technical requirements and safety standards mandated for engineering projects in Russia Moscow. The scope included detailed site analysis, thermodynamic calculations, and the drafting of comprehensive schematics for the client's manufacturing facility located in the industrial zone of Moscow.</w:t>
      </w:r>
    </w:p>
    <w:p>
      <w:pPr>
        <w:pStyle w:val="BodyText"/>
      </w:pPr>
      <w:r>
        <w:t xml:space="preserve">The Mechanical Engineer provided on-site consultation to assess the efficiency of existing machinery, ensuring compliance with local Russian federal regulations regarding industrial safety and energy consumption. Furthermore, the engineer developed a custom maintenance protocol tailored to the specific climatic conditions of Moscow, ensuring year-round operational reliability. This document serves as the formal request for payment for the intellectual property, labor, and technical expertise delivered during the project duration.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(Hours/Units)</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rPr>
                <w:bCs/>
                <w:b/>
              </w:rPr>
              <w:t xml:space="preserve">Phase 1: Site Assessment &amp; Audit</w:t>
            </w:r>
            <w:r>
              <w:br/>
            </w:r>
            <w:r>
              <w:t xml:space="preserve">Comprehensive mechanical audit of the production line in Moscow. Included inspection of hydraulic systems and pressure vessels.</w:t>
            </w:r>
          </w:p>
        </w:tc>
        <w:tc>
          <w:tcPr/>
          <w:p>
            <w:pPr>
              <w:pStyle w:val="Compact"/>
              <w:jc w:val="left"/>
            </w:pPr>
            <w:r>
              <w:t xml:space="preserve">16 Hours</w:t>
            </w:r>
          </w:p>
        </w:tc>
        <w:tc>
          <w:tcPr/>
          <w:p>
            <w:pPr>
              <w:pStyle w:val="Compact"/>
              <w:jc w:val="left"/>
            </w:pPr>
            <w:r>
              <w:t xml:space="preserve">5,000</w:t>
            </w:r>
          </w:p>
        </w:tc>
        <w:tc>
          <w:tcPr/>
          <w:p>
            <w:pPr>
              <w:pStyle w:val="Compact"/>
              <w:jc w:val="left"/>
            </w:pPr>
            <w:r>
              <w:t xml:space="preserve">80,000</w:t>
            </w:r>
          </w:p>
        </w:tc>
      </w:tr>
      <w:tr>
        <w:tc>
          <w:tcPr/>
          <w:p>
            <w:pPr>
              <w:pStyle w:val="Compact"/>
              <w:jc w:val="left"/>
            </w:pPr>
            <w:r>
              <w:rPr>
                <w:bCs/>
                <w:b/>
              </w:rPr>
              <w:t xml:space="preserve">Phase 2: CAD Design &amp; Modeling</w:t>
            </w:r>
            <w:r>
              <w:br/>
            </w:r>
            <w:r>
              <w:t xml:space="preserve">Creation of 3D mechanical models for new ventilation units. Adaptation of designs to fit existing infrastructure in the client's Moscow facility.</w:t>
            </w:r>
          </w:p>
        </w:tc>
        <w:tc>
          <w:tcPr/>
          <w:p>
            <w:pPr>
              <w:pStyle w:val="Compact"/>
              <w:jc w:val="left"/>
            </w:pPr>
            <w:r>
              <w:t xml:space="preserve">40 Hours</w:t>
            </w:r>
          </w:p>
        </w:tc>
        <w:tc>
          <w:tcPr/>
          <w:p>
            <w:pPr>
              <w:pStyle w:val="Compact"/>
              <w:jc w:val="left"/>
            </w:pPr>
            <w:r>
              <w:t xml:space="preserve">5,500</w:t>
            </w:r>
          </w:p>
        </w:tc>
        <w:tc>
          <w:tcPr/>
          <w:p>
            <w:pPr>
              <w:pStyle w:val="Compact"/>
              <w:jc w:val="left"/>
            </w:pPr>
            <w:r>
              <w:t xml:space="preserve">220,000</w:t>
            </w:r>
          </w:p>
        </w:tc>
      </w:tr>
      <w:tr>
        <w:tc>
          <w:tcPr/>
          <w:p>
            <w:pPr>
              <w:pStyle w:val="Compact"/>
              <w:jc w:val="left"/>
            </w:pPr>
            <w:r>
              <w:rPr>
                <w:bCs/>
                <w:b/>
              </w:rPr>
              <w:t xml:space="preserve">Phase 3: Thermodynamic Analysis</w:t>
            </w:r>
            <w:r>
              <w:br/>
            </w:r>
            <w:r>
              <w:t xml:space="preserve">Calculation of heat loads and energy efficiency metrics. Ensuring compliance with Russian GOST standards for industrial heating systems.</w:t>
            </w:r>
          </w:p>
        </w:tc>
        <w:tc>
          <w:tcPr/>
          <w:p>
            <w:pPr>
              <w:pStyle w:val="Compact"/>
              <w:jc w:val="left"/>
            </w:pPr>
            <w:r>
              <w:t xml:space="preserve">20 Hours</w:t>
            </w:r>
          </w:p>
        </w:tc>
        <w:tc>
          <w:tcPr/>
          <w:p>
            <w:pPr>
              <w:pStyle w:val="Compact"/>
              <w:jc w:val="left"/>
            </w:pPr>
            <w:r>
              <w:t xml:space="preserve">6,000</w:t>
            </w:r>
          </w:p>
        </w:tc>
        <w:tc>
          <w:tcPr/>
          <w:p>
            <w:pPr>
              <w:pStyle w:val="Compact"/>
              <w:jc w:val="left"/>
            </w:pPr>
            <w:r>
              <w:t xml:space="preserve">120,000</w:t>
            </w:r>
          </w:p>
        </w:tc>
      </w:tr>
      <w:tr>
        <w:tc>
          <w:tcPr/>
          <w:p>
            <w:pPr>
              <w:pStyle w:val="Compact"/>
              <w:jc w:val="left"/>
            </w:pPr>
            <w:r>
              <w:rPr>
                <w:bCs/>
                <w:b/>
              </w:rPr>
              <w:t xml:space="preserve">Phase 4: Technical Documentation</w:t>
            </w:r>
            <w:r>
              <w:br/>
            </w:r>
            <w:r>
              <w:t xml:space="preserve">Preparation of final engineering reports, installation manuals, and safety guidelines in English and Russian for local authorities.</w:t>
            </w:r>
          </w:p>
        </w:tc>
        <w:tc>
          <w:tcPr/>
          <w:p>
            <w:pPr>
              <w:pStyle w:val="Compact"/>
              <w:jc w:val="left"/>
            </w:pPr>
            <w:r>
              <w:t xml:space="preserve">1 Flat Fee</w:t>
            </w:r>
          </w:p>
        </w:tc>
        <w:tc>
          <w:tcPr/>
          <w:p>
            <w:pPr>
              <w:pStyle w:val="Compact"/>
              <w:jc w:val="left"/>
            </w:pPr>
            <w:r>
              <w:t xml:space="preserve">75,000</w:t>
            </w:r>
          </w:p>
        </w:tc>
        <w:tc>
          <w:tcPr/>
          <w:p>
            <w:pPr>
              <w:pStyle w:val="Compact"/>
              <w:jc w:val="left"/>
            </w:pPr>
            <w:r>
              <w:t xml:space="preserve">75,000</w:t>
            </w:r>
          </w:p>
        </w:tc>
      </w:tr>
      <w:tr>
        <w:tc>
          <w:tcPr/>
          <w:p>
            <w:pPr>
              <w:pStyle w:val="Compact"/>
              <w:jc w:val="left"/>
            </w:pPr>
            <w:r>
              <w:rPr>
                <w:bCs/>
                <w:b/>
              </w:rPr>
              <w:t xml:space="preserve">Phase 5: On-Site Supervision</w:t>
            </w:r>
            <w:r>
              <w:br/>
            </w:r>
            <w:r>
              <w:t xml:space="preserve">Mechanical Engineer supervision during the initial installation phase in Moscow to ensure alignment with design specifications.</w:t>
            </w:r>
          </w:p>
        </w:tc>
        <w:tc>
          <w:tcPr/>
          <w:p>
            <w:pPr>
              <w:pStyle w:val="Compact"/>
              <w:jc w:val="left"/>
            </w:pPr>
            <w:r>
              <w:t xml:space="preserve">8 Hours</w:t>
            </w:r>
          </w:p>
        </w:tc>
        <w:tc>
          <w:tcPr/>
          <w:p>
            <w:pPr>
              <w:pStyle w:val="Compact"/>
              <w:jc w:val="left"/>
            </w:pPr>
            <w:r>
              <w:t xml:space="preserve">6,500</w:t>
            </w:r>
          </w:p>
        </w:tc>
        <w:tc>
          <w:tcPr/>
          <w:p>
            <w:pPr>
              <w:pStyle w:val="Compact"/>
              <w:jc w:val="left"/>
            </w:pPr>
            <w:r>
              <w:t xml:space="preserve">52,000</w:t>
            </w:r>
          </w:p>
        </w:tc>
      </w:tr>
    </w:tbl>
    <w:p>
      <w:pPr>
        <w:pStyle w:val="BodyText"/>
      </w:pPr>
      <w:r>
        <w:t xml:space="preserve">Subtotal:</w:t>
      </w:r>
      <w:r>
        <w:t xml:space="preserve"> </w:t>
      </w:r>
      <w:r>
        <w:t xml:space="preserve">547,000.00 RUB</w:t>
      </w:r>
    </w:p>
    <w:p>
      <w:pPr>
        <w:pStyle w:val="BodyText"/>
      </w:pPr>
      <w:r>
        <w:t xml:space="preserve">VAT (20% - Russia Standard Rate):</w:t>
      </w:r>
      <w:r>
        <w:t xml:space="preserve"> </w:t>
      </w:r>
      <w:r>
        <w:t xml:space="preserve">109,400.00 RUB</w:t>
      </w:r>
    </w:p>
    <w:p>
      <w:pPr>
        <w:pStyle w:val="BodyText"/>
      </w:pPr>
      <w:r>
        <w:t xml:space="preserve">TOTAL AMOUNT DUE:</w:t>
      </w:r>
      <w:r>
        <w:t xml:space="preserve"> </w:t>
      </w:r>
      <w:r>
        <w:t xml:space="preserve">656,400.00 RUB</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account details listed below. Please reference the Invoice Number (INV-RU-2023-0892) in the payment description to ensure proper allocation of funds.</w:t>
      </w:r>
    </w:p>
    <w:p>
      <w:pPr>
        <w:pStyle w:val="BodyText"/>
      </w:pPr>
      <w:r>
        <w:rPr>
          <w:bCs/>
          <w:b/>
        </w:rPr>
        <w:t xml:space="preserve">Bank Name:</w:t>
      </w:r>
      <w:r>
        <w:t xml:space="preserve"> </w:t>
      </w:r>
      <w:r>
        <w:t xml:space="preserve">Sberbank of Russia</w:t>
      </w:r>
      <w:r>
        <w:br/>
      </w:r>
      <w:r>
        <w:rPr>
          <w:bCs/>
          <w:b/>
        </w:rPr>
        <w:t xml:space="preserve">Account Name:</w:t>
      </w:r>
      <w:r>
        <w:t xml:space="preserve"> </w:t>
      </w:r>
      <w:r>
        <w:t xml:space="preserve">Moscow Precision Engineering Ltd.</w:t>
      </w:r>
      <w:r>
        <w:br/>
      </w:r>
      <w:r>
        <w:rPr>
          <w:bCs/>
          <w:b/>
        </w:rPr>
        <w:t xml:space="preserve">Account Number:</w:t>
      </w:r>
      <w:r>
        <w:t xml:space="preserve"> </w:t>
      </w:r>
      <w:r>
        <w:t xml:space="preserve">40702810000000000000</w:t>
      </w:r>
      <w:r>
        <w:br/>
      </w:r>
      <w:r>
        <w:rPr>
          <w:bCs/>
          <w:b/>
        </w:rPr>
        <w:t xml:space="preserve">BIC:</w:t>
      </w:r>
      <w:r>
        <w:t xml:space="preserve"> </w:t>
      </w:r>
      <w:r>
        <w:t xml:space="preserve">044525225</w:t>
      </w:r>
      <w:r>
        <w:br/>
      </w:r>
      <w:r>
        <w:rPr>
          <w:bCs/>
          <w:b/>
        </w:rPr>
        <w:t xml:space="preserve">SWIFT Code:</w:t>
      </w:r>
      <w:r>
        <w:t xml:space="preserve"> </w:t>
      </w:r>
      <w:r>
        <w:t xml:space="preserve">SABRRUMM</w:t>
      </w:r>
    </w:p>
    <w:p>
      <w:pPr>
        <w:pStyle w:val="BodyText"/>
      </w:pPr>
      <w:r>
        <w:t xml:space="preserve">Late payments may incur a penalty interest rate of 0.1% per day on the outstanding balance, in accordance with the Civil Code of the Russian Federation.</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the Mechanical Engineer are subject to the terms agreed upon in the Master Service Agreement dated September 1, 2023.</w:t>
      </w:r>
    </w:p>
    <w:p>
      <w:pPr>
        <w:numPr>
          <w:ilvl w:val="0"/>
          <w:numId w:val="1001"/>
        </w:numPr>
        <w:pStyle w:val="Compact"/>
      </w:pPr>
      <w:r>
        <w:t xml:space="preserve">The intellectual property rights for all designs, calculations, and documentation created during this project remain with Moscow Precision Engineering Ltd. until full payment is received.</w:t>
      </w:r>
    </w:p>
    <w:p>
      <w:pPr>
        <w:numPr>
          <w:ilvl w:val="0"/>
          <w:numId w:val="1001"/>
        </w:numPr>
        <w:pStyle w:val="Compact"/>
      </w:pPr>
      <w:r>
        <w:t xml:space="preserve">This invoice is governed by the laws of the Russian Federation. Any disputes arising from this invoice shall be resolved in the commercial courts of Moscow.</w:t>
      </w:r>
    </w:p>
    <w:p>
      <w:pPr>
        <w:numPr>
          <w:ilvl w:val="0"/>
          <w:numId w:val="1001"/>
        </w:numPr>
        <w:pStyle w:val="Compact"/>
      </w:pPr>
      <w:r>
        <w:t xml:space="preserve">Prices are inclusive of all labor costs but exclusive of third-party material costs unless otherwise specified.</w:t>
      </w:r>
    </w:p>
    <w:p>
      <w:pPr>
        <w:numPr>
          <w:ilvl w:val="0"/>
          <w:numId w:val="1001"/>
        </w:numPr>
        <w:pStyle w:val="Compact"/>
      </w:pPr>
      <w:r>
        <w:t xml:space="preserve">Any changes to the scope of work must be authorized in writing by both parties prior to execution.</w:t>
      </w:r>
    </w:p>
    <w:bookmarkEnd w:id="25"/>
    <w:p>
      <w:pPr>
        <w:pStyle w:val="FirstParagraph"/>
      </w:pPr>
      <w:r>
        <w:t xml:space="preserve">Authorized Signature (Provider)</w:t>
      </w:r>
      <w:r>
        <w:br/>
      </w:r>
      <w:r>
        <w:rPr>
          <w:iCs/>
          <w:i/>
        </w:rPr>
        <w:t xml:space="preserve">Alexei Volkov, Chief Mechanical Engineer</w:t>
      </w:r>
    </w:p>
    <w:p>
      <w:pPr>
        <w:pStyle w:val="BodyText"/>
      </w:pPr>
      <w:r>
        <w:t xml:space="preserve">Authorized Signature (Client)</w:t>
      </w:r>
      <w:r>
        <w:br/>
      </w:r>
      <w:r>
        <w:rPr>
          <w:iCs/>
          <w:i/>
        </w:rPr>
        <w:t xml:space="preserve">Accepted by: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Moscow, Russia</dc:title>
  <dc:creator/>
  <dc:language>en</dc:language>
  <cp:keywords/>
  <dcterms:created xsi:type="dcterms:W3CDTF">2026-10-10T02:33:51Z</dcterms:created>
  <dcterms:modified xsi:type="dcterms:W3CDTF">2026-10-10T02:33:51Z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