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X6804a496509dd8c2851b3395c85cc5b233fc475"/>
    <w:p>
      <w:pPr>
        <w:pStyle w:val="Heading1"/>
      </w:pPr>
      <w:r>
        <w:t xml:space="preserve">Bosphorus Mechanical Engineering Solutions</w:t>
      </w:r>
    </w:p>
    <w:p>
      <w:pPr>
        <w:pStyle w:val="FirstParagraph"/>
      </w:pPr>
      <w:r>
        <w:rPr>
          <w:bCs/>
          <w:b/>
        </w:rPr>
        <w:t xml:space="preserve">Address:</w:t>
      </w:r>
      <w:r>
        <w:t xml:space="preserve"> </w:t>
      </w:r>
      <w:r>
        <w:t xml:space="preserve">Maslak Mahallesi, Büyükdere Caddesi No: 192, Kat: 5</w:t>
      </w:r>
    </w:p>
    <w:p>
      <w:pPr>
        <w:pStyle w:val="BodyText"/>
      </w:pPr>
      <w:r>
        <w:t xml:space="preserve">Sarıyer, 34398 Istanbul, Turkey</w:t>
      </w:r>
    </w:p>
    <w:p>
      <w:pPr>
        <w:pStyle w:val="BodyText"/>
      </w:pPr>
      <w:r>
        <w:rPr>
          <w:bCs/>
          <w:b/>
        </w:rPr>
        <w:t xml:space="preserve">Tax ID (Vergi No):</w:t>
      </w:r>
      <w:r>
        <w:t xml:space="preserve"> </w:t>
      </w:r>
      <w:r>
        <w:t xml:space="preserve">123 456 78 90</w:t>
      </w:r>
    </w:p>
    <w:p>
      <w:pPr>
        <w:pStyle w:val="BodyText"/>
      </w:pPr>
      <w:r>
        <w:rPr>
          <w:bCs/>
          <w:b/>
        </w:rPr>
        <w:t xml:space="preserve">Chamber of Engineers (Mühendislik Odası):</w:t>
      </w:r>
      <w:r>
        <w:t xml:space="preserve"> </w:t>
      </w:r>
      <w:r>
        <w:t xml:space="preserve">TMMOB-MMO No: 45892</w:t>
      </w:r>
    </w:p>
    <w:p>
      <w:pPr>
        <w:pStyle w:val="BodyText"/>
      </w:pPr>
      <w:r>
        <w:rPr>
          <w:bCs/>
          <w:b/>
        </w:rPr>
        <w:t xml:space="preserve">Email:</w:t>
      </w:r>
      <w:r>
        <w:t xml:space="preserve"> </w:t>
      </w:r>
      <w:r>
        <w:t xml:space="preserve">accounts@bosphorusmech.com.tr</w:t>
      </w:r>
    </w:p>
    <w:p>
      <w:pPr>
        <w:pStyle w:val="BodyText"/>
      </w:pPr>
      <w:r>
        <w:rPr>
          <w:bCs/>
          <w:b/>
        </w:rPr>
        <w:t xml:space="preserve">Phone:</w:t>
      </w:r>
      <w:r>
        <w:t xml:space="preserve"> </w:t>
      </w:r>
      <w:r>
        <w:t xml:space="preserve">+90 (212) 555 01 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INV-2023-TR-8842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Istanbul Industrial Logistics A.Ş.</w:t>
      </w:r>
    </w:p>
    <w:p>
      <w:pPr>
        <w:pStyle w:val="BodyText"/>
      </w:pPr>
      <w:r>
        <w:rPr>
          <w:bCs/>
          <w:b/>
        </w:rPr>
        <w:t xml:space="preserve">Address:</w:t>
      </w:r>
      <w:r>
        <w:t xml:space="preserve"> </w:t>
      </w:r>
      <w:r>
        <w:t xml:space="preserve">Organize Sanayi Bölgesi, 1. Cadde No: 45</w:t>
      </w:r>
    </w:p>
    <w:p>
      <w:pPr>
        <w:pStyle w:val="BodyText"/>
      </w:pPr>
      <w:r>
        <w:t xml:space="preserve">Küçükçekmece, 34290 Istanbul, Turkey</w:t>
      </w:r>
    </w:p>
    <w:p>
      <w:pPr>
        <w:pStyle w:val="BodyText"/>
      </w:pPr>
      <w:r>
        <w:rPr>
          <w:bCs/>
          <w:b/>
        </w:rPr>
        <w:t xml:space="preserve">Contact Person:</w:t>
      </w:r>
      <w:r>
        <w:t xml:space="preserve"> </w:t>
      </w:r>
      <w:r>
        <w:t xml:space="preserve">Mr. Ahmet Yılmaz</w:t>
      </w:r>
    </w:p>
    <w:p>
      <w:pPr>
        <w:pStyle w:val="BodyText"/>
      </w:pPr>
      <w:r>
        <w:rPr>
          <w:bCs/>
          <w:b/>
        </w:rPr>
        <w:t xml:space="preserve">Email:</w:t>
      </w:r>
      <w:r>
        <w:t xml:space="preserve"> </w:t>
      </w:r>
      <w:r>
        <w:t xml:space="preserve">a.yilmaz@istanbullogistics.com</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HVAC Optimization &amp; Thermal Efficiency Audit</w:t>
      </w:r>
    </w:p>
    <w:p>
      <w:pPr>
        <w:pStyle w:val="BodyText"/>
      </w:pPr>
      <w:r>
        <w:rPr>
          <w:bCs/>
          <w:b/>
        </w:rPr>
        <w:t xml:space="preserve">Location:</w:t>
      </w:r>
      <w:r>
        <w:t xml:space="preserve"> </w:t>
      </w:r>
      <w:r>
        <w:t xml:space="preserve">Istanbul Logistics Hub, Küçükçekmece</w:t>
      </w:r>
    </w:p>
    <w:p>
      <w:pPr>
        <w:pStyle w:val="BodyText"/>
      </w:pPr>
      <w:r>
        <w:rPr>
          <w:bCs/>
          <w:b/>
        </w:rPr>
        <w:t xml:space="preserve">Service Period:</w:t>
      </w:r>
      <w:r>
        <w:t xml:space="preserve"> </w:t>
      </w:r>
      <w:r>
        <w:t xml:space="preserve">September 1, 2023 – October 15, 2023</w:t>
      </w:r>
    </w:p>
    <w:p>
      <w:pPr>
        <w:pStyle w:val="BodyText"/>
      </w:pPr>
      <w:r>
        <w:rPr>
          <w:bCs/>
          <w:b/>
        </w:rPr>
        <w:t xml:space="preserve">Currency:</w:t>
      </w:r>
      <w:r>
        <w:t xml:space="preserve"> </w:t>
      </w:r>
      <w:r>
        <w:t xml:space="preserve">Turkish Lira (TRY)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Site Survey and Thermal Imaging Analysis</w:t>
            </w:r>
            <w:r>
              <w:br/>
            </w:r>
            <w:r>
              <w:t xml:space="preserve">Comprehensive on-site inspection of the mechanical infrastructure at the Istanbul facility. Included thermal imaging of piping systems to detect heat loss and insulation failures.</w:t>
            </w:r>
          </w:p>
        </w:tc>
        <w:tc>
          <w:tcPr/>
          <w:p>
            <w:pPr>
              <w:pStyle w:val="Compact"/>
              <w:jc w:val="left"/>
            </w:pPr>
            <w:r>
              <w:t xml:space="preserve">16.0</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HVAC System Design Optimization</w:t>
            </w:r>
            <w:r>
              <w:br/>
            </w:r>
            <w:r>
              <w:t xml:space="preserve">Detailed engineering calculations and AutoCAD modeling to redesign the air handling units for improved energy efficiency, adhering to Turkish Building Regulations (Yönetmelik).</w:t>
            </w:r>
          </w:p>
        </w:tc>
        <w:tc>
          <w:tcPr/>
          <w:p>
            <w:pPr>
              <w:pStyle w:val="Compact"/>
              <w:jc w:val="left"/>
            </w:pPr>
            <w:r>
              <w:t xml:space="preserve">40.0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Fluid Dynamics Simulation (CFD)</w:t>
            </w:r>
            <w:r>
              <w:br/>
            </w:r>
            <w:r>
              <w:t xml:space="preserve">Computational Fluid Dynamics analysis to optimize airflow distribution within the warehouse zones, ensuring compliance with occupational health and safety standards in Turkey.</w:t>
            </w:r>
          </w:p>
        </w:tc>
        <w:tc>
          <w:tcPr/>
          <w:p>
            <w:pPr>
              <w:pStyle w:val="Compact"/>
              <w:jc w:val="left"/>
            </w:pPr>
            <w:r>
              <w:t xml:space="preserve">20.0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Boiler Efficiency Audit and Reporting</w:t>
            </w:r>
            <w:r>
              <w:br/>
            </w:r>
            <w:r>
              <w:t xml:space="preserve">Performance testing of the central heating plant. Preparation of a technical report detailing combustion efficiency, flue gas analysis, and recommendations for retrofitting.</w:t>
            </w:r>
          </w:p>
        </w:tc>
        <w:tc>
          <w:tcPr/>
          <w:p>
            <w:pPr>
              <w:pStyle w:val="Compact"/>
              <w:jc w:val="left"/>
            </w:pPr>
            <w:r>
              <w:t xml:space="preserve">1 Flat Fee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Regulatory Compliance Consultation</w:t>
            </w:r>
            <w:r>
              <w:br/>
            </w:r>
            <w:r>
              <w:t xml:space="preserve">Review of mechanical systems against the Turkish Ministry of Environment, Urbanization and Climate Change regulations. Coordination with local Istanbul municipality authorities for permit documentation.</w:t>
            </w:r>
          </w:p>
        </w:tc>
        <w:tc>
          <w:tcPr/>
          <w:p>
            <w:pPr>
              <w:pStyle w:val="Compact"/>
              <w:jc w:val="left"/>
            </w:pPr>
            <w:r>
              <w:t xml:space="preserve">8.0</w:t>
            </w:r>
          </w:p>
        </w:tc>
        <w:tc>
          <w:tcPr/>
          <w:p>
            <w:pPr>
              <w:pStyle w:val="Compact"/>
              <w:jc w:val="left"/>
            </w:pPr>
            <w:r>
              <w:t xml:space="preserve">1,600.00</w:t>
            </w:r>
          </w:p>
        </w:tc>
        <w:tc>
          <w:tcPr/>
          <w:p>
            <w:pPr>
              <w:pStyle w:val="Compact"/>
              <w:jc w:val="left"/>
            </w:pPr>
            <w:r>
              <w:t xml:space="preserve">12,800.00</w:t>
            </w:r>
          </w:p>
        </w:tc>
      </w:tr>
    </w:tbl>
    <w:p>
      <w:pPr>
        <w:pStyle w:val="BodyText"/>
      </w:pPr>
      <w:r>
        <w:t xml:space="preserve">Subtotal:</w:t>
      </w:r>
      <w:r>
        <w:t xml:space="preserve"> </w:t>
      </w:r>
      <w:r>
        <w:t xml:space="preserve">163,800.00 TRY</w:t>
      </w:r>
    </w:p>
    <w:p>
      <w:pPr>
        <w:pStyle w:val="BodyText"/>
      </w:pPr>
      <w:r>
        <w:t xml:space="preserve">VAT (KDV) @ 20%:</w:t>
      </w:r>
      <w:r>
        <w:t xml:space="preserve"> </w:t>
      </w:r>
      <w:r>
        <w:t xml:space="preserve">32,760.00 TRY</w:t>
      </w:r>
    </w:p>
    <w:p>
      <w:pPr>
        <w:pStyle w:val="BodyText"/>
      </w:pPr>
      <w:r>
        <w:t xml:space="preserve">TOTAL DUE:</w:t>
      </w:r>
      <w:r>
        <w:t xml:space="preserve"> </w:t>
      </w:r>
      <w:r>
        <w:t xml:space="preserve">196,560.00 TRY</w:t>
      </w:r>
    </w:p>
    <w:bookmarkStart w:id="24" w:name="payment-instructions"/>
    <w:p>
      <w:pPr>
        <w:pStyle w:val="Heading4"/>
      </w:pPr>
      <w:r>
        <w:t xml:space="preserve">Payment Instructions</w:t>
      </w:r>
    </w:p>
    <w:p>
      <w:pPr>
        <w:pStyle w:val="FirstParagraph"/>
      </w:pPr>
      <w:r>
        <w:t xml:space="preserve">Please make payment within 30 days of the invoice date. Payments should be made via bank transfer to the following account in Turkey:</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Maslak Şubesi</w:t>
      </w:r>
      <w:r>
        <w:br/>
      </w:r>
      <w:r>
        <w:rPr>
          <w:bCs/>
          <w:b/>
        </w:rPr>
        <w:t xml:space="preserve">Account Name:</w:t>
      </w:r>
      <w:r>
        <w:t xml:space="preserve"> </w:t>
      </w:r>
      <w:r>
        <w:t xml:space="preserve">Bosphorus Mechanical Engineering Solutions Ltd.</w:t>
      </w:r>
      <w:r>
        <w:br/>
      </w:r>
      <w:r>
        <w:rPr>
          <w:bCs/>
          <w:b/>
        </w:rPr>
        <w:t xml:space="preserve">IBAN:</w:t>
      </w:r>
      <w:r>
        <w:t xml:space="preserve"> </w:t>
      </w:r>
      <w:r>
        <w:t xml:space="preserve">TR00 0006 4000 0000 1234 5678 90</w:t>
      </w:r>
      <w:r>
        <w:br/>
      </w:r>
      <w:r>
        <w:rPr>
          <w:bCs/>
          <w:b/>
        </w:rPr>
        <w:t xml:space="preserve">SWIFT/BIC:</w:t>
      </w:r>
      <w:r>
        <w:t xml:space="preserve"> </w:t>
      </w:r>
      <w:r>
        <w:t xml:space="preserve">ISBKTRIS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Jurisdiction:</w:t>
      </w:r>
      <w:r>
        <w:t xml:space="preserve"> </w:t>
      </w:r>
      <w:r>
        <w:t xml:space="preserve">This Invoice and the services described herein are governed by the laws of the Republic of Turkey. Any disputes arising from this transaction shall be subject to the exclusive jurisdiction of the Istanbul Courts.</w:t>
      </w:r>
    </w:p>
    <w:p>
      <w:pPr>
        <w:pStyle w:val="BodyText"/>
      </w:pPr>
      <w:r>
        <w:t xml:space="preserve">2.</w:t>
      </w:r>
      <w:r>
        <w:t xml:space="preserve"> </w:t>
      </w:r>
      <w:r>
        <w:rPr>
          <w:bCs/>
          <w:b/>
        </w:rPr>
        <w:t xml:space="preserve">Professional Standards:</w:t>
      </w:r>
      <w:r>
        <w:t xml:space="preserve"> </w:t>
      </w:r>
      <w:r>
        <w:t xml:space="preserve">All services provided by our Mechanical Engineers are performed in accordance with the ethical and technical standards set by the Union of Chambers of Turkish Engineers and Architects (TMMOB).</w:t>
      </w:r>
    </w:p>
    <w:p>
      <w:pPr>
        <w:pStyle w:val="BodyText"/>
      </w:pPr>
      <w:r>
        <w:t xml:space="preserve">3.</w:t>
      </w:r>
      <w:r>
        <w:t xml:space="preserve"> </w:t>
      </w:r>
      <w:r>
        <w:rPr>
          <w:bCs/>
          <w:b/>
        </w:rPr>
        <w:t xml:space="preserve">Validity:</w:t>
      </w:r>
      <w:r>
        <w:t xml:space="preserve"> </w:t>
      </w:r>
      <w:r>
        <w:t xml:space="preserve">The prices quoted in this Invoice are valid for 30 days from the date of issue. Late payments may incur interest charges in accordance with Turkish Commercial Code (Türk Ticaret Kanunu).</w:t>
      </w:r>
    </w:p>
    <w:p>
      <w:pPr>
        <w:pStyle w:val="BodyText"/>
      </w:pPr>
      <w:r>
        <w:t xml:space="preserve">4.</w:t>
      </w:r>
      <w:r>
        <w:t xml:space="preserve"> </w:t>
      </w:r>
      <w:r>
        <w:rPr>
          <w:bCs/>
          <w:b/>
        </w:rPr>
        <w:t xml:space="preserve">Intellectual Property:</w:t>
      </w:r>
      <w:r>
        <w:t xml:space="preserve"> </w:t>
      </w:r>
      <w:r>
        <w:t xml:space="preserve">All engineering designs, calculations, and reports generated during this project remain the intellectual property of Bosphorus Mechanical Engineering Solutions until full payment is received.</w:t>
      </w:r>
    </w:p>
    <w:p>
      <w:pPr>
        <w:pStyle w:val="BodyText"/>
      </w:pPr>
      <w:r>
        <w:t xml:space="preserve">5.</w:t>
      </w:r>
      <w:r>
        <w:t xml:space="preserve"> </w:t>
      </w:r>
      <w:r>
        <w:rPr>
          <w:bCs/>
          <w:b/>
        </w:rPr>
        <w:t xml:space="preserve">Tax Compliance:</w:t>
      </w:r>
      <w:r>
        <w:t xml:space="preserve"> </w:t>
      </w:r>
      <w:r>
        <w:t xml:space="preserve">This Invoice has been issued in compliance with the Turkish Revenue Administration (Gelir İdaresi Başkanlığı) regulations. A duplicate copy of this document is available upon request for your accounting records.</w:t>
      </w:r>
    </w:p>
    <w:bookmarkEnd w:id="25"/>
    <w:p>
      <w:pPr>
        <w:pStyle w:val="BodyText"/>
      </w:pPr>
      <w:r>
        <w:rPr>
          <w:bCs/>
          <w:b/>
        </w:rPr>
        <w:t xml:space="preserve">Authorized Signature</w:t>
      </w:r>
    </w:p>
    <w:p>
      <w:pPr>
        <w:pStyle w:val="BodyText"/>
      </w:pPr>
      <w:r>
        <w:t xml:space="preserve">Dr. Caner Demir</w:t>
      </w:r>
    </w:p>
    <w:p>
      <w:pPr>
        <w:pStyle w:val="BodyText"/>
      </w:pPr>
      <w:r>
        <w:t xml:space="preserve">Senior Mechanical Engineer</w:t>
      </w:r>
    </w:p>
    <w:p>
      <w:pPr>
        <w:pStyle w:val="BodyText"/>
      </w:pPr>
      <w:r>
        <w:t xml:space="preserve">Bosphorus Mechanical Engineering Solutions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Istanbul, Turkey</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