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mechatronics-engineering-solutions-gmbh"/>
    <w:p>
      <w:pPr>
        <w:pStyle w:val="Heading1"/>
      </w:pPr>
      <w:r>
        <w:t xml:space="preserve">Mechatronics Engineering Solutions GmbH</w:t>
      </w:r>
    </w:p>
    <w:p>
      <w:pPr>
        <w:pStyle w:val="FirstParagraph"/>
      </w:pPr>
      <w:r>
        <w:t xml:space="preserve">Maximilianstraße 42</w:t>
      </w:r>
    </w:p>
    <w:p>
      <w:pPr>
        <w:pStyle w:val="BodyText"/>
      </w:pPr>
      <w:r>
        <w:t xml:space="preserve">80539 Munich, Germany</w:t>
      </w:r>
    </w:p>
    <w:p>
      <w:pPr>
        <w:pStyle w:val="BodyText"/>
      </w:pPr>
      <w:r>
        <w:t xml:space="preserve">Tax ID (Steuernummer): DE123456789</w:t>
      </w:r>
    </w:p>
    <w:p>
      <w:pPr>
        <w:pStyle w:val="BodyText"/>
      </w:pPr>
      <w:r>
        <w:t xml:space="preserve">VAT ID (USt-IdNr.): DE987654321</w:t>
      </w:r>
    </w:p>
    <w:p>
      <w:pPr>
        <w:pStyle w:val="BodyText"/>
      </w:pPr>
      <w:r>
        <w:t xml:space="preserve">Email: billing@mechatronics-munich.de</w:t>
      </w:r>
    </w:p>
    <w:p>
      <w:pPr>
        <w:pStyle w:val="BodyText"/>
      </w:pPr>
      <w:r>
        <w:t xml:space="preserve">Phone: +49 89 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Advanced Manufacturing Systems AG</w:t>
      </w:r>
    </w:p>
    <w:p>
      <w:pPr>
        <w:pStyle w:val="BodyText"/>
      </w:pPr>
      <w:r>
        <w:t xml:space="preserve">Attn: Procurement Department</w:t>
      </w:r>
    </w:p>
    <w:p>
      <w:pPr>
        <w:pStyle w:val="BodyText"/>
      </w:pPr>
      <w:r>
        <w:t xml:space="preserve">Leopoldstraße 185</w:t>
      </w:r>
    </w:p>
    <w:p>
      <w:pPr>
        <w:pStyle w:val="BodyText"/>
      </w:pPr>
      <w:r>
        <w:t xml:space="preserve">80804 Munich, Germany</w:t>
      </w:r>
    </w:p>
    <w:p>
      <w:pPr>
        <w:pStyle w:val="BodyText"/>
      </w:pPr>
      <w:r>
        <w:t xml:space="preserve">Tax ID: DE456789123</w:t>
      </w:r>
    </w:p>
    <w:p>
      <w:pPr>
        <w:pStyle w:val="BodyText"/>
      </w:pPr>
      <w:r>
        <w:t xml:space="preserve">VAT ID: DE321654987</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 for Automated Assembly Line</w:t>
            </w:r>
            <w:r>
              <w:br/>
            </w:r>
            <w:r>
              <w:t xml:space="preserve">Comprehensive mechatronic system design integrating mechanical components, electronic control systems, and software algorithms for a high-speed assembly line in Munich. Includes feasibility analysis, component selection, and integration planning compliant with German industrial standards (DIN/EN).</w:t>
            </w:r>
          </w:p>
        </w:tc>
        <w:tc>
          <w:tcPr/>
          <w:p>
            <w:pPr>
              <w:pStyle w:val="Compact"/>
              <w:jc w:val="left"/>
            </w:pPr>
            <w:r>
              <w:t xml:space="preserve">40 hrs</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2</w:t>
            </w:r>
          </w:p>
        </w:tc>
        <w:tc>
          <w:tcPr/>
          <w:p>
            <w:pPr>
              <w:pStyle w:val="Compact"/>
              <w:jc w:val="left"/>
            </w:pPr>
            <w:r>
              <w:rPr>
                <w:bCs/>
                <w:b/>
              </w:rPr>
              <w:t xml:space="preserve">PLC Programming and HMI Development</w:t>
            </w:r>
            <w:r>
              <w:br/>
            </w:r>
            <w:r>
              <w:t xml:space="preserve">Development of programmable logic controller (PLC) code using Siemens TIA Portal for motion control and process automation. Design and implementation of human-machine interface (HMI) screens for operator monitoring and control. Testing and validation performed at our Munich facility.</w:t>
            </w:r>
          </w:p>
        </w:tc>
        <w:tc>
          <w:tcPr/>
          <w:p>
            <w:pPr>
              <w:pStyle w:val="Compact"/>
              <w:jc w:val="left"/>
            </w:pPr>
            <w:r>
              <w:t xml:space="preserve">32 hrs</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rPr>
                <w:bCs/>
                <w:b/>
              </w:rPr>
              <w:t xml:space="preserve">Sensor Integration and Signal Processing</w:t>
            </w:r>
            <w:r>
              <w:br/>
            </w:r>
            <w:r>
              <w:t xml:space="preserve">Selection, installation, and configuration of proximity sensors, encoders, and vision systems. Implementation of signal conditioning and noise filtering algorithms to ensure reliable data acquisition in industrial environments. Calibration and verification of all sensing elements.</w:t>
            </w:r>
          </w:p>
        </w:tc>
        <w:tc>
          <w:tcPr/>
          <w:p>
            <w:pPr>
              <w:pStyle w:val="Compact"/>
              <w:jc w:val="left"/>
            </w:pPr>
            <w:r>
              <w:t xml:space="preserve">24 hrs</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4</w:t>
            </w:r>
          </w:p>
        </w:tc>
        <w:tc>
          <w:tcPr/>
          <w:p>
            <w:pPr>
              <w:pStyle w:val="Compact"/>
              <w:jc w:val="left"/>
            </w:pPr>
            <w:r>
              <w:rPr>
                <w:bCs/>
                <w:b/>
              </w:rPr>
              <w:t xml:space="preserve">Mechanical Design and CAD Modeling</w:t>
            </w:r>
            <w:r>
              <w:br/>
            </w:r>
            <w:r>
              <w:t xml:space="preserve">3D CAD modeling of custom mechanical assemblies using SolidWorks. Design of actuator mounts, conveyor systems, and end-effector mechanisms. Finite element analysis (FEA) for structural integrity verification. Generation of manufacturing drawings with GD&amp;T specifications.</w:t>
            </w:r>
          </w:p>
        </w:tc>
        <w:tc>
          <w:tcPr/>
          <w:p>
            <w:pPr>
              <w:pStyle w:val="Compact"/>
              <w:jc w:val="left"/>
            </w:pPr>
            <w:r>
              <w:t xml:space="preserve">28 hrs</w:t>
            </w:r>
          </w:p>
        </w:tc>
        <w:tc>
          <w:tcPr/>
          <w:p>
            <w:pPr>
              <w:pStyle w:val="Compact"/>
              <w:jc w:val="left"/>
            </w:pPr>
            <w:r>
              <w:t xml:space="preserve">145.00</w:t>
            </w:r>
          </w:p>
        </w:tc>
        <w:tc>
          <w:tcPr/>
          <w:p>
            <w:pPr>
              <w:pStyle w:val="Compact"/>
              <w:jc w:val="left"/>
            </w:pPr>
            <w:r>
              <w:t xml:space="preserve">4,060.00</w:t>
            </w:r>
          </w:p>
        </w:tc>
      </w:tr>
      <w:tr>
        <w:tc>
          <w:tcPr/>
          <w:p>
            <w:pPr>
              <w:pStyle w:val="Compact"/>
              <w:jc w:val="left"/>
            </w:pPr>
            <w:r>
              <w:t xml:space="preserve">5</w:t>
            </w:r>
          </w:p>
        </w:tc>
        <w:tc>
          <w:tcPr/>
          <w:p>
            <w:pPr>
              <w:pStyle w:val="Compact"/>
              <w:jc w:val="left"/>
            </w:pPr>
            <w:r>
              <w:rPr>
                <w:bCs/>
                <w:b/>
              </w:rPr>
              <w:t xml:space="preserve">Electrical Schematic Design and Component Selection</w:t>
            </w:r>
            <w:r>
              <w:br/>
            </w:r>
            <w:r>
              <w:t xml:space="preserve">Creation of detailed electrical schematics for power distribution, control circuits, and I/O wiring. Selection of appropriate electrical components including contactors, relays, circuit breakers, and terminal blocks. Compliance with VDE standards for electrical installations in Germany.</w:t>
            </w:r>
          </w:p>
        </w:tc>
        <w:tc>
          <w:tcPr/>
          <w:p>
            <w:pPr>
              <w:pStyle w:val="Compact"/>
              <w:jc w:val="left"/>
            </w:pPr>
            <w:r>
              <w:t xml:space="preserve">20 hrs</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6</w:t>
            </w:r>
          </w:p>
        </w:tc>
        <w:tc>
          <w:tcPr/>
          <w:p>
            <w:pPr>
              <w:pStyle w:val="Compact"/>
              <w:jc w:val="left"/>
            </w:pPr>
            <w:r>
              <w:rPr>
                <w:bCs/>
                <w:b/>
              </w:rPr>
              <w:t xml:space="preserve">System Integration and Commissioning</w:t>
            </w:r>
            <w:r>
              <w:br/>
            </w:r>
            <w:r>
              <w:t xml:space="preserve">On-site integration of mechanical, electrical, and software subsystems at client facility in Munich. Functional testing, parameter tuning, and optimization of system performance. Training of client personnel on system operation and basic troubleshooting procedures.</w:t>
            </w:r>
          </w:p>
        </w:tc>
        <w:tc>
          <w:tcPr/>
          <w:p>
            <w:pPr>
              <w:pStyle w:val="Compact"/>
              <w:jc w:val="left"/>
            </w:pPr>
            <w:r>
              <w:t xml:space="preserve">36 hrs</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7</w:t>
            </w:r>
          </w:p>
        </w:tc>
        <w:tc>
          <w:tcPr/>
          <w:p>
            <w:pPr>
              <w:pStyle w:val="Compact"/>
              <w:jc w:val="left"/>
            </w:pPr>
            <w:r>
              <w:rPr>
                <w:bCs/>
                <w:b/>
              </w:rPr>
              <w:t xml:space="preserve">Documentation and Technical Reporting</w:t>
            </w:r>
            <w:r>
              <w:br/>
            </w:r>
            <w:r>
              <w:t xml:space="preserve">Preparation of comprehensive technical documentation including system architecture diagrams, wiring diagrams, PLC program documentation, operation manuals, and maintenance guides. All documentation provided in both German and English to meet regulatory requirements.</w:t>
            </w:r>
          </w:p>
        </w:tc>
        <w:tc>
          <w:tcPr/>
          <w:p>
            <w:pPr>
              <w:pStyle w:val="Compact"/>
              <w:jc w:val="left"/>
            </w:pPr>
            <w:r>
              <w:t xml:space="preserve">16 hrs</w:t>
            </w:r>
          </w:p>
        </w:tc>
        <w:tc>
          <w:tcPr/>
          <w:p>
            <w:pPr>
              <w:pStyle w:val="Compact"/>
              <w:jc w:val="left"/>
            </w:pPr>
            <w:r>
              <w:t xml:space="preserve">145.00</w:t>
            </w:r>
          </w:p>
        </w:tc>
        <w:tc>
          <w:tcPr/>
          <w:p>
            <w:pPr>
              <w:pStyle w:val="Compact"/>
              <w:jc w:val="left"/>
            </w:pPr>
            <w:r>
              <w:t xml:space="preserve">2,320.00</w:t>
            </w:r>
          </w:p>
        </w:tc>
      </w:tr>
      <w:tr>
        <w:tc>
          <w:tcPr/>
          <w:p>
            <w:pPr>
              <w:pStyle w:val="Compact"/>
              <w:jc w:val="left"/>
            </w:pPr>
            <w:r>
              <w:t xml:space="preserve">8</w:t>
            </w:r>
          </w:p>
        </w:tc>
        <w:tc>
          <w:tcPr/>
          <w:p>
            <w:pPr>
              <w:pStyle w:val="Compact"/>
              <w:jc w:val="left"/>
            </w:pPr>
            <w:r>
              <w:rPr>
                <w:bCs/>
                <w:b/>
              </w:rPr>
              <w:t xml:space="preserve">Project Management and Coordination</w:t>
            </w:r>
            <w:r>
              <w:br/>
            </w:r>
            <w:r>
              <w:t xml:space="preserve">Overall project coordination, progress tracking, risk management, and stakeholder communication. Regular status meetings and reporting throughout the project lifecycle. Ensuring adherence to project timeline, budget, and quality standards.</w:t>
            </w:r>
          </w:p>
        </w:tc>
        <w:tc>
          <w:tcPr/>
          <w:p>
            <w:pPr>
              <w:pStyle w:val="Compact"/>
              <w:jc w:val="left"/>
            </w:pPr>
            <w:r>
              <w:t xml:space="preserve">12 hrs</w:t>
            </w:r>
          </w:p>
        </w:tc>
        <w:tc>
          <w:tcPr/>
          <w:p>
            <w:pPr>
              <w:pStyle w:val="Compact"/>
              <w:jc w:val="left"/>
            </w:pPr>
            <w:r>
              <w:t xml:space="preserve">145.00</w:t>
            </w:r>
          </w:p>
        </w:tc>
        <w:tc>
          <w:tcPr/>
          <w:p>
            <w:pPr>
              <w:pStyle w:val="Compact"/>
              <w:jc w:val="left"/>
            </w:pPr>
            <w:r>
              <w:t xml:space="preserve">1,740.00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€30,160.00</w:t>
            </w:r>
          </w:p>
        </w:tc>
      </w:tr>
      <w:tr>
        <w:tc>
          <w:tcPr/>
          <w:p>
            <w:pPr>
              <w:pStyle w:val="Compact"/>
              <w:jc w:val="left"/>
            </w:pPr>
            <w:r>
              <w:t xml:space="preserve">VAT (19%):</w:t>
            </w:r>
          </w:p>
        </w:tc>
        <w:tc>
          <w:tcPr/>
          <w:p>
            <w:pPr>
              <w:pStyle w:val="Compact"/>
              <w:jc w:val="left"/>
            </w:pPr>
            <w:r>
              <w:t xml:space="preserve">€5,730.40</w:t>
            </w:r>
          </w:p>
        </w:tc>
      </w:tr>
      <w:tr>
        <w:tc>
          <w:tcPr/>
          <w:p>
            <w:pPr>
              <w:pStyle w:val="Compact"/>
              <w:jc w:val="left"/>
            </w:pPr>
            <w:r>
              <w:t xml:space="preserve">Total Amount Due:</w:t>
            </w:r>
          </w:p>
        </w:tc>
        <w:tc>
          <w:tcPr/>
          <w:p>
            <w:pPr>
              <w:pStyle w:val="Compact"/>
              <w:jc w:val="left"/>
            </w:pPr>
            <w:r>
              <w:t xml:space="preserve">€35,890.40</w:t>
            </w:r>
          </w:p>
        </w:tc>
      </w:tr>
    </w:tbl>
    <w:bookmarkStart w:id="23" w:name="payment-instructions"/>
    <w:p>
      <w:pPr>
        <w:pStyle w:val="Heading3"/>
      </w:pPr>
      <w:r>
        <w:t xml:space="preserve">Payment Instructions</w:t>
      </w:r>
    </w:p>
    <w:p>
      <w:pPr>
        <w:pStyle w:val="FirstParagraph"/>
      </w:pPr>
      <w:r>
        <w:t xml:space="preserve">Please remit payment within 30 days of the invoice date. Late payments may be subject to interest charges in accordance with German commercial law (BGB §288).</w:t>
      </w:r>
    </w:p>
    <w:p>
      <w:pPr>
        <w:pStyle w:val="BodyText"/>
      </w:pPr>
      <w:r>
        <w:rPr>
          <w:bCs/>
          <w:b/>
        </w:rPr>
        <w:t xml:space="preserve">Bank Transfer Details:</w:t>
      </w:r>
    </w:p>
    <w:p>
      <w:pPr>
        <w:pStyle w:val="BodyText"/>
      </w:pPr>
      <w:r>
        <w:t xml:space="preserve">Bank Name: Bayerische Landesbank</w:t>
      </w:r>
    </w:p>
    <w:p>
      <w:pPr>
        <w:pStyle w:val="BodyText"/>
      </w:pPr>
      <w:r>
        <w:t xml:space="preserve">Account Holder: Mechatronics Engineering Solutions GmbH</w:t>
      </w:r>
    </w:p>
    <w:p>
      <w:pPr>
        <w:pStyle w:val="BodyText"/>
      </w:pPr>
      <w:r>
        <w:t xml:space="preserve">IBAN: DE89 7005 0000 0000 1234 56</w:t>
      </w:r>
    </w:p>
    <w:p>
      <w:pPr>
        <w:pStyle w:val="BodyText"/>
      </w:pPr>
      <w:r>
        <w:t xml:space="preserve">BIC/SWIFT: BYLADEM1001</w:t>
      </w:r>
    </w:p>
    <w:p>
      <w:pPr>
        <w:pStyle w:val="BodyText"/>
      </w:pPr>
      <w:r>
        <w:t xml:space="preserve">Reference: INV-2024-0847</w:t>
      </w:r>
    </w:p>
    <w:bookmarkEnd w:id="23"/>
    <w:bookmarkStart w:id="24" w:name="important-notes"/>
    <w:p>
      <w:pPr>
        <w:pStyle w:val="Heading3"/>
      </w:pPr>
      <w:r>
        <w:t xml:space="preserve">Important Notes</w:t>
      </w:r>
    </w:p>
    <w:p>
      <w:pPr>
        <w:pStyle w:val="FirstParagraph"/>
      </w:pPr>
      <w:r>
        <w:t xml:space="preserve">This invoice is issued in accordance with German tax regulations and EU VAT directives. All services described herein were performed by qualified Mechatronics Engineers specializing in industrial automation, robotics, and control systems.</w:t>
      </w:r>
    </w:p>
    <w:p>
      <w:pPr>
        <w:pStyle w:val="BodyText"/>
      </w:pPr>
      <w:r>
        <w:t xml:space="preserve">The scope of work outlined in this invoice reflects the comprehensive nature of mechatronic engineering, which integrates mechanical engineering, electrical engineering, electronics, control engineering, and computer science to design and implement intelligent systems.</w:t>
      </w:r>
    </w:p>
    <w:p>
      <w:pPr>
        <w:pStyle w:val="BodyText"/>
      </w:pPr>
      <w:r>
        <w:t xml:space="preserve">All designs and documentation comply with applicable German and European standards, including DIN, EN, VDE, and CE marking requirements where applicable. Our team of Mechatronics Engineers based in Munich ensures that all solutions meet the highest quality and safety standards expected in the German manufacturing sector.</w:t>
      </w:r>
    </w:p>
    <w:p>
      <w:pPr>
        <w:pStyle w:val="BodyText"/>
      </w:pPr>
      <w:r>
        <w:t xml:space="preserve">For any questions regarding this invoice or the services provided, please contact our billing department at billing@mechatronics-munich.de or call +49 89 12345678.</w:t>
      </w:r>
    </w:p>
    <w:p>
      <w:pPr>
        <w:pStyle w:val="BodyText"/>
      </w:pPr>
      <w:r>
        <w:t xml:space="preserve">Thank you for your business. We look forward to continuing our partnership and supporting your automation and mechatronics projects in Munich and throughout Germany.</w:t>
      </w:r>
    </w:p>
    <w:bookmarkEnd w:id="24"/>
    <w:p>
      <w:pPr>
        <w:pStyle w:val="BodyText"/>
      </w:pPr>
      <w:r>
        <w:t xml:space="preserve">Mechatronics Engineering Solutions GmbH | Maximilianstraße 42 | 80539 Munich, Germany</w:t>
      </w:r>
    </w:p>
    <w:p>
      <w:pPr>
        <w:pStyle w:val="BodyText"/>
      </w:pPr>
      <w:r>
        <w:t xml:space="preserve">Registered at: Amtsgericht München | HRB 234567 | Managing Director: Dr. Thomas Weber</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Mechatronics Engineering Services</dc:title>
  <dc:creator/>
  <dc:language>en</dc:language>
  <cp:keywords/>
  <dcterms:created xsi:type="dcterms:W3CDTF">2026-10-10T05:39:10Z</dcterms:created>
  <dcterms:modified xsi:type="dcterms:W3CDTF">2026-10-10T05:39:10Z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