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pt.-advanced-mechatronics-solutions"/>
    <w:p>
      <w:pPr>
        <w:pStyle w:val="Heading1"/>
      </w:pPr>
      <w:r>
        <w:t xml:space="preserve">PT. Advanced Mechatronics Solutions</w:t>
      </w:r>
    </w:p>
    <w:p>
      <w:pPr>
        <w:pStyle w:val="FirstParagraph"/>
      </w:pPr>
      <w:r>
        <w:t xml:space="preserve">Professional Engineering &amp; Automation Services</w:t>
      </w:r>
    </w:p>
    <w:p>
      <w:pPr>
        <w:pStyle w:val="BodyText"/>
      </w:pPr>
      <w:r>
        <w:t xml:space="preserve">Jl. Sudirman Kav. 52-53, SCBD Lot 12</w:t>
      </w:r>
    </w:p>
    <w:p>
      <w:pPr>
        <w:pStyle w:val="BodyText"/>
      </w:pPr>
      <w:r>
        <w:t xml:space="preserve">Jakarta Selatan, Indonesia Jakarta 12190</w:t>
      </w:r>
    </w:p>
    <w:p>
      <w:pPr>
        <w:pStyle w:val="BodyText"/>
      </w:pPr>
      <w:r>
        <w:t xml:space="preserve">Email: billing@advancedmechatronics.id | Phone: +62 21 5555 8888</w:t>
      </w:r>
    </w:p>
    <w:p>
      <w:pPr>
        <w:pStyle w:val="BodyText"/>
      </w:pPr>
      <w:r>
        <w:t xml:space="preserve">NPWP: 01.234.567.8-901.000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INV-JKT-2024-0892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PT. Indo Manufacturing Excellence</w:t>
      </w:r>
    </w:p>
    <w:p>
      <w:pPr>
        <w:pStyle w:val="BodyText"/>
      </w:pPr>
      <w:r>
        <w:t xml:space="preserve">Attn: Mr. Budi Santoso, Chief Operations Officer</w:t>
      </w:r>
    </w:p>
    <w:p>
      <w:pPr>
        <w:pStyle w:val="BodyText"/>
      </w:pPr>
      <w:r>
        <w:t xml:space="preserve">Jl. Raya Bekasi Km. 24, Kawasan Industri Jababeka</w:t>
      </w:r>
    </w:p>
    <w:p>
      <w:pPr>
        <w:pStyle w:val="BodyText"/>
      </w:pPr>
      <w:r>
        <w:t xml:space="preserve">Jakarta Timur, Indonesia Jakarta 13930</w:t>
      </w:r>
    </w:p>
    <w:p>
      <w:pPr>
        <w:pStyle w:val="BodyText"/>
      </w:pPr>
      <w:r>
        <w:t xml:space="preserve">NPWP: 02.987.654.3-210.000</w:t>
      </w:r>
    </w:p>
    <w:bookmarkEnd w:id="22"/>
    <w:bookmarkStart w:id="23" w:name="project-reference"/>
    <w:p>
      <w:pPr>
        <w:pStyle w:val="Heading3"/>
      </w:pPr>
      <w:r>
        <w:t xml:space="preserve">Project Reference:</w:t>
      </w:r>
    </w:p>
    <w:p>
      <w:pPr>
        <w:pStyle w:val="FirstParagraph"/>
      </w:pPr>
      <w:r>
        <w:rPr>
          <w:bCs/>
          <w:b/>
        </w:rPr>
        <w:t xml:space="preserve">Project Name:</w:t>
      </w:r>
      <w:r>
        <w:t xml:space="preserve"> </w:t>
      </w:r>
      <w:r>
        <w:t xml:space="preserve">Automated Assembly Line Integration</w:t>
      </w:r>
    </w:p>
    <w:p>
      <w:pPr>
        <w:pStyle w:val="BodyText"/>
      </w:pPr>
      <w:r>
        <w:rPr>
          <w:bCs/>
          <w:b/>
        </w:rPr>
        <w:t xml:space="preserve">Contract Number:</w:t>
      </w:r>
      <w:r>
        <w:t xml:space="preserve"> </w:t>
      </w:r>
      <w:r>
        <w:t xml:space="preserve">CTR-MECH-2024-045</w:t>
      </w:r>
    </w:p>
    <w:p>
      <w:pPr>
        <w:pStyle w:val="BodyText"/>
      </w:pPr>
      <w:r>
        <w:rPr>
          <w:bCs/>
          <w:b/>
        </w:rPr>
        <w:t xml:space="preserve">Service Period:</w:t>
      </w:r>
      <w:r>
        <w:t xml:space="preserve"> </w:t>
      </w:r>
      <w:r>
        <w:t xml:space="preserve">September 1, 2024 - September 30, 2024</w:t>
      </w:r>
    </w:p>
    <w:p>
      <w:pPr>
        <w:pStyle w:val="BodyText"/>
      </w:pPr>
      <w:r>
        <w:rPr>
          <w:bCs/>
          <w:b/>
        </w:rPr>
        <w:t xml:space="preserve">Location:</w:t>
      </w:r>
      <w:r>
        <w:t xml:space="preserve"> </w:t>
      </w:r>
      <w:r>
        <w:t xml:space="preserve">Jakarta Industrial Park, Indonesia Jakarta</w:t>
      </w:r>
    </w:p>
    <w:bookmarkEnd w:id="23"/>
    <w:bookmarkStart w:id="24" w:name="project-overview-scope-of-work"/>
    <w:p>
      <w:pPr>
        <w:pStyle w:val="Heading3"/>
      </w:pPr>
      <w:r>
        <w:t xml:space="preserve">Project Overview &amp; Scope of Work</w:t>
      </w:r>
    </w:p>
    <w:p>
      <w:pPr>
        <w:pStyle w:val="FirstParagraph"/>
      </w:pPr>
      <w:r>
        <w:t xml:space="preserve">This Invoice pertains to the specialized services rendered by our certified Mechatronics Engineer team for the comprehensive automation upgrade of your production facility located in Indonesia Jakarta. The scope included the design, programming, and integration of PLC-controlled robotic arms, sensor networks, and vision systems to optimize assembly line efficiency. Our Mechatronics Engineer specialists conducted on-site diagnostics, developed custom firmware for embedded control systems, and performed rigorous testing to ensure seamless operation within your existing infrastructure. All work was executed in compliance with Indonesian national standards (SNI) and international safety regulations for industrial automation.</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1</w:t>
            </w:r>
          </w:p>
        </w:tc>
        <w:tc>
          <w:tcPr/>
          <w:p>
            <w:pPr>
              <w:pStyle w:val="Compact"/>
              <w:jc w:val="left"/>
            </w:pPr>
            <w:r>
              <w:rPr>
                <w:bCs/>
                <w:b/>
              </w:rPr>
              <w:t xml:space="preserve">Senior Mechatronics Engineer Consultation &amp; System Design</w:t>
            </w:r>
            <w:r>
              <w:br/>
            </w:r>
            <w:r>
              <w:t xml:space="preserve">Comprehensive analysis of existing machinery, creation of CAD models for integration, and development of control architecture for the automated assembly line in Indonesia Jakarta.</w:t>
            </w:r>
          </w:p>
        </w:tc>
        <w:tc>
          <w:tcPr/>
          <w:p>
            <w:pPr>
              <w:pStyle w:val="Compact"/>
              <w:jc w:val="left"/>
            </w:pPr>
            <w:r>
              <w:t xml:space="preserve">40 Hours</w:t>
            </w:r>
          </w:p>
        </w:tc>
        <w:tc>
          <w:tcPr/>
          <w:p>
            <w:pPr>
              <w:pStyle w:val="Compact"/>
              <w:jc w:val="left"/>
            </w:pPr>
            <w:r>
              <w:t xml:space="preserve">1,500,000</w:t>
            </w:r>
          </w:p>
        </w:tc>
        <w:tc>
          <w:tcPr/>
          <w:p>
            <w:pPr>
              <w:pStyle w:val="Compact"/>
              <w:jc w:val="left"/>
            </w:pPr>
            <w:r>
              <w:t xml:space="preserve">60,000,000</w:t>
            </w:r>
          </w:p>
        </w:tc>
      </w:tr>
      <w:tr>
        <w:tc>
          <w:tcPr/>
          <w:p>
            <w:pPr>
              <w:pStyle w:val="Compact"/>
              <w:jc w:val="left"/>
            </w:pPr>
            <w:r>
              <w:t xml:space="preserve">2</w:t>
            </w:r>
          </w:p>
        </w:tc>
        <w:tc>
          <w:tcPr/>
          <w:p>
            <w:pPr>
              <w:pStyle w:val="Compact"/>
              <w:jc w:val="left"/>
            </w:pPr>
            <w:r>
              <w:rPr>
                <w:bCs/>
                <w:b/>
              </w:rPr>
              <w:t xml:space="preserve">PLC Programming &amp; HMI Development</w:t>
            </w:r>
            <w:r>
              <w:br/>
            </w:r>
            <w:r>
              <w:t xml:space="preserve">Custom programming of Siemens S7-1500 PLCs and development of intuitive Human-Machine Interface (HMI) screens for operator control and monitoring.</w:t>
            </w:r>
          </w:p>
        </w:tc>
        <w:tc>
          <w:tcPr/>
          <w:p>
            <w:pPr>
              <w:pStyle w:val="Compact"/>
              <w:jc w:val="left"/>
            </w:pPr>
            <w:r>
              <w:t xml:space="preserve">60 Hours</w:t>
            </w:r>
          </w:p>
        </w:tc>
        <w:tc>
          <w:tcPr/>
          <w:p>
            <w:pPr>
              <w:pStyle w:val="Compact"/>
              <w:jc w:val="left"/>
            </w:pPr>
            <w:r>
              <w:t xml:space="preserve">1,750,000</w:t>
            </w:r>
          </w:p>
        </w:tc>
        <w:tc>
          <w:tcPr/>
          <w:p>
            <w:pPr>
              <w:pStyle w:val="Compact"/>
              <w:jc w:val="left"/>
            </w:pPr>
            <w:r>
              <w:t xml:space="preserve">105,000,000</w:t>
            </w:r>
          </w:p>
        </w:tc>
      </w:tr>
      <w:tr>
        <w:tc>
          <w:tcPr/>
          <w:p>
            <w:pPr>
              <w:pStyle w:val="Compact"/>
              <w:jc w:val="left"/>
            </w:pPr>
            <w:r>
              <w:t xml:space="preserve">3</w:t>
            </w:r>
          </w:p>
        </w:tc>
        <w:tc>
          <w:tcPr/>
          <w:p>
            <w:pPr>
              <w:pStyle w:val="Compact"/>
              <w:jc w:val="left"/>
            </w:pPr>
            <w:r>
              <w:rPr>
                <w:bCs/>
                <w:b/>
              </w:rPr>
              <w:t xml:space="preserve">Robotic Integration &amp; Calibration</w:t>
            </w:r>
            <w:r>
              <w:br/>
            </w:r>
            <w:r>
              <w:t xml:space="preserve">Installation, configuration, and precision calibration of 4-axis robotic arms for pick-and-place operations, including safety zone programming.</w:t>
            </w:r>
          </w:p>
        </w:tc>
        <w:tc>
          <w:tcPr/>
          <w:p>
            <w:pPr>
              <w:pStyle w:val="Compact"/>
              <w:jc w:val="left"/>
            </w:pPr>
            <w:r>
              <w:t xml:space="preserve">30 Hours</w:t>
            </w:r>
          </w:p>
        </w:tc>
        <w:tc>
          <w:tcPr/>
          <w:p>
            <w:pPr>
              <w:pStyle w:val="Compact"/>
              <w:jc w:val="left"/>
            </w:pPr>
            <w:r>
              <w:t xml:space="preserve">2,000,000</w:t>
            </w:r>
          </w:p>
        </w:tc>
        <w:tc>
          <w:tcPr/>
          <w:p>
            <w:pPr>
              <w:pStyle w:val="Compact"/>
              <w:jc w:val="left"/>
            </w:pPr>
            <w:r>
              <w:t xml:space="preserve">60,000,000</w:t>
            </w:r>
          </w:p>
        </w:tc>
      </w:tr>
      <w:tr>
        <w:tc>
          <w:tcPr/>
          <w:p>
            <w:pPr>
              <w:pStyle w:val="Compact"/>
              <w:jc w:val="left"/>
            </w:pPr>
            <w:r>
              <w:t xml:space="preserve">4</w:t>
            </w:r>
          </w:p>
        </w:tc>
        <w:tc>
          <w:tcPr/>
          <w:p>
            <w:pPr>
              <w:pStyle w:val="Compact"/>
              <w:jc w:val="left"/>
            </w:pPr>
            <w:r>
              <w:rPr>
                <w:bCs/>
                <w:b/>
              </w:rPr>
              <w:t xml:space="preserve">Sensor Network Implementation &amp; Debugging</w:t>
            </w:r>
            <w:r>
              <w:br/>
            </w:r>
            <w:r>
              <w:t xml:space="preserve">Deployment of proximity, vision, and force sensors throughout the production line, including signal conditioning and noise reduction measures.</w:t>
            </w:r>
          </w:p>
        </w:tc>
        <w:tc>
          <w:tcPr/>
          <w:p>
            <w:pPr>
              <w:pStyle w:val="Compact"/>
              <w:jc w:val="left"/>
            </w:pPr>
            <w:r>
              <w:t xml:space="preserve">25 Hours</w:t>
            </w:r>
          </w:p>
        </w:tc>
        <w:tc>
          <w:tcPr/>
          <w:p>
            <w:pPr>
              <w:pStyle w:val="Compact"/>
              <w:jc w:val="left"/>
            </w:pPr>
            <w:r>
              <w:t xml:space="preserve">1,600,000</w:t>
            </w:r>
          </w:p>
        </w:tc>
        <w:tc>
          <w:tcPr/>
          <w:p>
            <w:pPr>
              <w:pStyle w:val="Compact"/>
              <w:jc w:val="left"/>
            </w:pPr>
            <w:r>
              <w:t xml:space="preserve">40,000,000</w:t>
            </w:r>
          </w:p>
        </w:tc>
      </w:tr>
      <w:tr>
        <w:tc>
          <w:tcPr/>
          <w:p>
            <w:pPr>
              <w:pStyle w:val="Compact"/>
              <w:jc w:val="left"/>
            </w:pPr>
            <w:r>
              <w:t xml:space="preserve">5</w:t>
            </w:r>
          </w:p>
        </w:tc>
        <w:tc>
          <w:tcPr/>
          <w:p>
            <w:pPr>
              <w:pStyle w:val="Compact"/>
              <w:jc w:val="left"/>
            </w:pPr>
            <w:r>
              <w:rPr>
                <w:bCs/>
                <w:b/>
              </w:rPr>
              <w:t xml:space="preserve">On-Site Testing, Commissioning &amp; Training</w:t>
            </w:r>
            <w:r>
              <w:br/>
            </w:r>
            <w:r>
              <w:t xml:space="preserve">Full system integration testing, performance validation, and comprehensive training for your technical staff in Indonesia Jakarta.</w:t>
            </w:r>
          </w:p>
        </w:tc>
        <w:tc>
          <w:tcPr/>
          <w:p>
            <w:pPr>
              <w:pStyle w:val="Compact"/>
              <w:jc w:val="left"/>
            </w:pPr>
            <w:r>
              <w:t xml:space="preserve">20 Hours</w:t>
            </w:r>
          </w:p>
        </w:tc>
        <w:tc>
          <w:tcPr/>
          <w:p>
            <w:pPr>
              <w:pStyle w:val="Compact"/>
              <w:jc w:val="left"/>
            </w:pPr>
            <w:r>
              <w:t xml:space="preserve">1,800,000</w:t>
            </w:r>
          </w:p>
        </w:tc>
        <w:tc>
          <w:tcPr/>
          <w:p>
            <w:pPr>
              <w:pStyle w:val="Compact"/>
              <w:jc w:val="left"/>
            </w:pPr>
            <w:r>
              <w:t xml:space="preserve">36,000,000</w:t>
            </w:r>
          </w:p>
        </w:tc>
      </w:tr>
      <w:tr>
        <w:tc>
          <w:tcPr/>
          <w:p>
            <w:pPr>
              <w:pStyle w:val="Compact"/>
              <w:jc w:val="left"/>
            </w:pPr>
            <w:r>
              <w:t xml:space="preserve">6</w:t>
            </w:r>
          </w:p>
        </w:tc>
        <w:tc>
          <w:tcPr/>
          <w:p>
            <w:pPr>
              <w:pStyle w:val="Compact"/>
              <w:jc w:val="left"/>
            </w:pPr>
            <w:r>
              <w:rPr>
                <w:bCs/>
                <w:b/>
              </w:rPr>
              <w:t xml:space="preserve">Technical Documentation &amp; Handover</w:t>
            </w:r>
            <w:r>
              <w:br/>
            </w:r>
            <w:r>
              <w:t xml:space="preserve">Preparation of detailed engineering drawings, wiring diagrams, operation manuals, and maintenance schedules.</w:t>
            </w:r>
          </w:p>
        </w:tc>
        <w:tc>
          <w:tcPr/>
          <w:p>
            <w:pPr>
              <w:pStyle w:val="Compact"/>
              <w:jc w:val="left"/>
            </w:pPr>
            <w:r>
              <w:t xml:space="preserve">1 Lot</w:t>
            </w:r>
          </w:p>
        </w:tc>
        <w:tc>
          <w:tcPr/>
          <w:p>
            <w:pPr>
              <w:pStyle w:val="Compact"/>
              <w:jc w:val="left"/>
            </w:pPr>
            <w:r>
              <w:t xml:space="preserve">15,000,000</w:t>
            </w:r>
          </w:p>
        </w:tc>
        <w:tc>
          <w:tcPr/>
          <w:p>
            <w:pPr>
              <w:pStyle w:val="Compact"/>
              <w:jc w:val="left"/>
            </w:pPr>
            <w:r>
              <w:t xml:space="preserve">15,000,000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IDR 316,000,000</w:t>
            </w:r>
          </w:p>
        </w:tc>
      </w:tr>
      <w:tr>
        <w:tc>
          <w:tcPr/>
          <w:p>
            <w:pPr>
              <w:pStyle w:val="Compact"/>
              <w:jc w:val="left"/>
            </w:pPr>
            <w:r>
              <w:t xml:space="preserve">VAT (PPN) 11%:</w:t>
            </w:r>
          </w:p>
        </w:tc>
        <w:tc>
          <w:tcPr/>
          <w:p>
            <w:pPr>
              <w:pStyle w:val="Compact"/>
              <w:jc w:val="left"/>
            </w:pPr>
            <w:r>
              <w:t xml:space="preserve">IDR 34,760,000</w:t>
            </w:r>
          </w:p>
        </w:tc>
      </w:tr>
      <w:tr>
        <w:tc>
          <w:tcPr/>
          <w:p>
            <w:pPr>
              <w:pStyle w:val="Compact"/>
              <w:jc w:val="left"/>
            </w:pPr>
            <w:r>
              <w:t xml:space="preserve">Grand Total:</w:t>
            </w:r>
          </w:p>
        </w:tc>
        <w:tc>
          <w:tcPr/>
          <w:p>
            <w:pPr>
              <w:pStyle w:val="Compact"/>
              <w:jc w:val="left"/>
            </w:pPr>
            <w:r>
              <w:t xml:space="preserve">IDR 350,760,000</w:t>
            </w:r>
          </w:p>
        </w:tc>
      </w:tr>
    </w:tbl>
    <w:bookmarkStart w:id="25" w:name="payment-instructions"/>
    <w:p>
      <w:pPr>
        <w:pStyle w:val="Heading3"/>
      </w:pPr>
      <w:r>
        <w:t xml:space="preserve">Payment Instructions</w:t>
      </w:r>
    </w:p>
    <w:p>
      <w:pPr>
        <w:pStyle w:val="FirstParagraph"/>
      </w:pPr>
      <w:r>
        <w:t xml:space="preserve">Please remit payment within 30 days of the Invoice date to the following bank account:</w:t>
      </w:r>
    </w:p>
    <w:p>
      <w:pPr>
        <w:numPr>
          <w:ilvl w:val="0"/>
          <w:numId w:val="1001"/>
        </w:numPr>
        <w:pStyle w:val="Compact"/>
      </w:pPr>
      <w:r>
        <w:rPr>
          <w:bCs/>
          <w:b/>
        </w:rPr>
        <w:t xml:space="preserve">Bank Name:</w:t>
      </w:r>
      <w:r>
        <w:t xml:space="preserve"> </w:t>
      </w:r>
      <w:r>
        <w:t xml:space="preserve">Bank Central Asia (BCA)</w:t>
      </w:r>
    </w:p>
    <w:p>
      <w:pPr>
        <w:numPr>
          <w:ilvl w:val="0"/>
          <w:numId w:val="1001"/>
        </w:numPr>
        <w:pStyle w:val="Compact"/>
      </w:pPr>
      <w:r>
        <w:rPr>
          <w:bCs/>
          <w:b/>
        </w:rPr>
        <w:t xml:space="preserve">Account Name:</w:t>
      </w:r>
      <w:r>
        <w:t xml:space="preserve"> </w:t>
      </w:r>
      <w:r>
        <w:t xml:space="preserve">PT. Advanced Mechatronics Solutions</w:t>
      </w:r>
    </w:p>
    <w:p>
      <w:pPr>
        <w:numPr>
          <w:ilvl w:val="0"/>
          <w:numId w:val="1001"/>
        </w:numPr>
        <w:pStyle w:val="Compact"/>
      </w:pPr>
      <w:r>
        <w:rPr>
          <w:bCs/>
          <w:b/>
        </w:rPr>
        <w:t xml:space="preserve">Account Number:</w:t>
      </w:r>
      <w:r>
        <w:t xml:space="preserve"> </w:t>
      </w:r>
      <w:r>
        <w:t xml:space="preserve">123-456-7890</w:t>
      </w:r>
    </w:p>
    <w:p>
      <w:pPr>
        <w:numPr>
          <w:ilvl w:val="0"/>
          <w:numId w:val="1001"/>
        </w:numPr>
        <w:pStyle w:val="Compact"/>
      </w:pPr>
      <w:r>
        <w:rPr>
          <w:bCs/>
          <w:b/>
        </w:rPr>
        <w:t xml:space="preserve">Branch:</w:t>
      </w:r>
      <w:r>
        <w:t xml:space="preserve"> </w:t>
      </w:r>
      <w:r>
        <w:t xml:space="preserve">Jakarta Sudirman</w:t>
      </w:r>
    </w:p>
    <w:p>
      <w:pPr>
        <w:numPr>
          <w:ilvl w:val="0"/>
          <w:numId w:val="1001"/>
        </w:numPr>
        <w:pStyle w:val="Compact"/>
      </w:pPr>
      <w:r>
        <w:rPr>
          <w:bCs/>
          <w:b/>
        </w:rPr>
        <w:t xml:space="preserve">SWIFT Code:</w:t>
      </w:r>
      <w:r>
        <w:t xml:space="preserve"> </w:t>
      </w:r>
      <w:r>
        <w:t xml:space="preserve">CENAIDJA</w:t>
      </w:r>
    </w:p>
    <w:p>
      <w:pPr>
        <w:pStyle w:val="FirstParagraph"/>
      </w:pPr>
      <w:r>
        <w:t xml:space="preserve">Please include the Invoice Number (INV-JKT-2024-0892) as the payment reference. For international transfers, please contact our finance department for additional details.</w:t>
      </w:r>
    </w:p>
    <w:bookmarkEnd w:id="25"/>
    <w:bookmarkStart w:id="26" w:name="terms-conditions"/>
    <w:p>
      <w:pPr>
        <w:pStyle w:val="Heading4"/>
      </w:pPr>
      <w:r>
        <w:t xml:space="preserve">Terms &amp; Conditions</w:t>
      </w:r>
    </w:p>
    <w:p>
      <w:pPr>
        <w:pStyle w:val="FirstParagraph"/>
      </w:pPr>
      <w:r>
        <w:t xml:space="preserve">1. This Invoice is issued in accordance with the contract signed between PT. Advanced Mechatronics Solutions and PT. Indo Manufacturing Excellence for Mechatronics Engineering services rendered in Indonesia Jakarta.</w:t>
      </w:r>
      <w:r>
        <w:br/>
      </w:r>
      <w:r>
        <w:t xml:space="preserve">2. Payment is due within 30 days from the date of this Invoice. Late payments may incur a penalty of 2% per month on the outstanding balance.</w:t>
      </w:r>
      <w:r>
        <w:br/>
      </w:r>
      <w:r>
        <w:t xml:space="preserve">3. All services were performed by qualified Mechatronics Engineers holding valid certifications and licenses as required by Indonesian regulations.</w:t>
      </w:r>
      <w:r>
        <w:br/>
      </w:r>
      <w:r>
        <w:t xml:space="preserve">4. Warranty on engineering services is valid for 12 months from the date of project completion, covering defects in design and programming.</w:t>
      </w:r>
      <w:r>
        <w:br/>
      </w:r>
      <w:r>
        <w:t xml:space="preserve">5. Any disputes arising from this Invoice shall be resolved through arbitration in Jakarta, Indonesia, in accordance with Indonesian law.</w:t>
      </w:r>
      <w:r>
        <w:br/>
      </w:r>
      <w:r>
        <w:t xml:space="preserve">6. This document serves as an official tax invoice for VAT (PPN) purposes in Indonesia.</w:t>
      </w:r>
    </w:p>
    <w:bookmarkEnd w:id="26"/>
    <w:p>
      <w:pPr>
        <w:pStyle w:val="BodyText"/>
      </w:pPr>
      <w:r>
        <w:t xml:space="preserve">Authorized by:</w:t>
      </w:r>
    </w:p>
    <w:p>
      <w:pPr>
        <w:pStyle w:val="BodyText"/>
      </w:pPr>
      <w:r>
        <w:t xml:space="preserve">Andi Wijaya</w:t>
      </w:r>
      <w:r>
        <w:br/>
      </w:r>
      <w:r>
        <w:t xml:space="preserve">Director of Engineering</w:t>
      </w:r>
      <w:r>
        <w:br/>
      </w:r>
      <w:r>
        <w:t xml:space="preserve">PT. Advanced Mechatronics Solutions</w:t>
      </w:r>
    </w:p>
    <w:p>
      <w:pPr>
        <w:pStyle w:val="BodyText"/>
      </w:pPr>
      <w:r>
        <w:t xml:space="preserve">Received by:</w:t>
      </w:r>
    </w:p>
    <w:p>
      <w:pPr>
        <w:pStyle w:val="BodyText"/>
      </w:pPr>
      <w:r>
        <w:t xml:space="preserve">_________________________</w:t>
      </w:r>
      <w:r>
        <w:br/>
      </w:r>
      <w:r>
        <w:t xml:space="preserve">Name &amp; Title</w:t>
      </w:r>
      <w:r>
        <w:br/>
      </w:r>
      <w:r>
        <w:t xml:space="preserve">PT. Indo Manufacturing Excellence</w:t>
      </w:r>
    </w:p>
    <w:p>
      <w:pPr>
        <w:pStyle w:val="BodyText"/>
      </w:pPr>
      <w:r>
        <w:t xml:space="preserve">PT. Advanced Mechatronics Solutions | Jl. Sudirman Kav. 52-53, SCBD Lot 12, Jakarta Selatan, Indonesia Jakarta 12190</w:t>
      </w:r>
    </w:p>
    <w:p>
      <w:pPr>
        <w:pStyle w:val="BodyText"/>
      </w:pPr>
      <w:r>
        <w:t xml:space="preserve">Email: billing@advancedmechatronics.id | Phone: +62 21 5555 8888 | Website: www.advancedmechatronics.id</w:t>
      </w:r>
    </w:p>
    <w:p>
      <w:pPr>
        <w:pStyle w:val="BodyText"/>
      </w:pPr>
      <w:r>
        <w:t xml:space="preserve">NPWP: 01.234.567.8-901.000 | This Invoice is generated electronically and is legally binding.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2026-10-10T06:21:36Z</dcterms:created>
  <dcterms:modified xsi:type="dcterms:W3CDTF">2026-10-10T06:21:36Z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