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Mechatronics</w:t>
      </w:r>
      <w:r>
        <w:t xml:space="preserve"> </w:t>
      </w:r>
      <w:r>
        <w:t xml:space="preserve">Engineering</w:t>
      </w:r>
      <w:r>
        <w:t xml:space="preserve"> </w:t>
      </w:r>
      <w:r>
        <w:t xml:space="preserve">Services</w:t>
      </w:r>
    </w:p>
    <w:bookmarkStart w:id="20" w:name="advanced-mechatronics-solutions-ltd."/>
    <w:p>
      <w:pPr>
        <w:pStyle w:val="Heading1"/>
      </w:pPr>
      <w:r>
        <w:t xml:space="preserve">Advanced Mechatronics Solutions Ltd.</w:t>
      </w:r>
    </w:p>
    <w:p>
      <w:pPr>
        <w:pStyle w:val="FirstParagraph"/>
      </w:pPr>
      <w:r>
        <w:t xml:space="preserve">12 Hanegev Street, Tel Aviv-Yafo, Israel 6971001</w:t>
      </w:r>
    </w:p>
    <w:p>
      <w:pPr>
        <w:pStyle w:val="BodyText"/>
      </w:pPr>
      <w:r>
        <w:t xml:space="preserve">VAT ID: 517000000</w:t>
      </w:r>
    </w:p>
    <w:p>
      <w:pPr>
        <w:pStyle w:val="BodyText"/>
      </w:pPr>
      <w:r>
        <w:t xml:space="preserve">Email: billing@mechatronics-tlv.co.il</w:t>
      </w:r>
    </w:p>
    <w:p>
      <w:pPr>
        <w:pStyle w:val="BodyText"/>
      </w:pPr>
      <w:r>
        <w:t xml:space="preserve">Phone: +972-3-555-0199</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INV-2023-TLV-0892</w:t>
      </w:r>
      <w:r>
        <w:t xml:space="preserve"> </w:t>
      </w:r>
      <w:r>
        <w:rPr>
          <w:bCs/>
          <w:b/>
        </w:rPr>
        <w:t xml:space="preserve">Date:</w:t>
      </w:r>
      <w:r>
        <w:t xml:space="preserve"> </w:t>
      </w:r>
      <w:r>
        <w:t xml:space="preserve">October 24, 2023</w:t>
      </w:r>
      <w:r>
        <w:t xml:space="preserve"> </w:t>
      </w:r>
      <w:r>
        <w:rPr>
          <w:bCs/>
          <w:b/>
        </w:rPr>
        <w:t xml:space="preserve">Due Date:</w:t>
      </w:r>
      <w:r>
        <w:t xml:space="preserve"> </w:t>
      </w:r>
      <w:r>
        <w:t xml:space="preserve">November 24, 2023</w:t>
      </w:r>
    </w:p>
    <w:bookmarkEnd w:id="21"/>
    <w:bookmarkStart w:id="22" w:name="bill-to"/>
    <w:p>
      <w:pPr>
        <w:pStyle w:val="Heading3"/>
      </w:pPr>
      <w:r>
        <w:t xml:space="preserve">Bill To:</w:t>
      </w:r>
    </w:p>
    <w:p>
      <w:pPr>
        <w:pStyle w:val="FirstParagraph"/>
      </w:pPr>
      <w:r>
        <w:rPr>
          <w:bCs/>
          <w:b/>
        </w:rPr>
        <w:t xml:space="preserve">Global Robotics Industries</w:t>
      </w:r>
    </w:p>
    <w:p>
      <w:pPr>
        <w:pStyle w:val="BodyText"/>
      </w:pPr>
      <w:r>
        <w:t xml:space="preserve">Attn: Procurement Department</w:t>
      </w:r>
    </w:p>
    <w:p>
      <w:pPr>
        <w:pStyle w:val="BodyText"/>
      </w:pPr>
      <w:r>
        <w:t xml:space="preserve">45 HaYarkon Street</w:t>
      </w:r>
    </w:p>
    <w:p>
      <w:pPr>
        <w:pStyle w:val="BodyText"/>
      </w:pPr>
      <w:r>
        <w:t xml:space="preserve">Tel Aviv, Israel 6473901</w:t>
      </w:r>
    </w:p>
    <w:p>
      <w:pPr>
        <w:pStyle w:val="BodyText"/>
      </w:pPr>
      <w:r>
        <w:t xml:space="preserve">VAT ID: 518000000</w:t>
      </w:r>
    </w:p>
    <w:bookmarkEnd w:id="22"/>
    <w:bookmarkStart w:id="23" w:name="project-reference"/>
    <w:p>
      <w:pPr>
        <w:pStyle w:val="Heading3"/>
      </w:pPr>
      <w:r>
        <w:t xml:space="preserve">Project Reference:</w:t>
      </w:r>
    </w:p>
    <w:p>
      <w:pPr>
        <w:pStyle w:val="FirstParagraph"/>
      </w:pPr>
      <w:r>
        <w:rPr>
          <w:bCs/>
          <w:b/>
        </w:rPr>
        <w:t xml:space="preserve">Project:</w:t>
      </w:r>
      <w:r>
        <w:t xml:space="preserve"> </w:t>
      </w:r>
      <w:r>
        <w:t xml:space="preserve">Automated Assembly Line Integration</w:t>
      </w:r>
    </w:p>
    <w:p>
      <w:pPr>
        <w:pStyle w:val="BodyText"/>
      </w:pPr>
      <w:r>
        <w:rPr>
          <w:bCs/>
          <w:b/>
        </w:rPr>
        <w:t xml:space="preserve">Location:</w:t>
      </w:r>
      <w:r>
        <w:t xml:space="preserve"> </w:t>
      </w:r>
      <w:r>
        <w:t xml:space="preserve">Industrial Zone, Tel Aviv District</w:t>
      </w:r>
    </w:p>
    <w:p>
      <w:pPr>
        <w:pStyle w:val="BodyText"/>
      </w:pPr>
      <w:r>
        <w:rPr>
          <w:bCs/>
          <w:b/>
        </w:rPr>
        <w:t xml:space="preserve">Service Period:</w:t>
      </w:r>
      <w:r>
        <w:t xml:space="preserve"> </w:t>
      </w:r>
      <w:r>
        <w:t xml:space="preserve">October 1, 2023 - October 20, 2023</w:t>
      </w:r>
    </w:p>
    <w:p>
      <w:pPr>
        <w:pStyle w:val="BodyText"/>
      </w:pPr>
      <w:r>
        <w:rPr>
          <w:bCs/>
          <w:b/>
        </w:rPr>
        <w:t xml:space="preserve">Contract Ref:</w:t>
      </w:r>
      <w:r>
        <w:t xml:space="preserve"> </w:t>
      </w:r>
      <w:r>
        <w:t xml:space="preserve">MECH-TLV-2023-A4</w:t>
      </w:r>
    </w:p>
    <w:bookmarkEnd w:id="23"/>
    <w:bookmarkStart w:id="24" w:name="Xd4daf90b1df03c9d310df178b247ab3a06163a0"/>
    <w:p>
      <w:pPr>
        <w:pStyle w:val="Heading4"/>
      </w:pPr>
      <w:r>
        <w:t xml:space="preserve">Service Overview: Mechatronics Engineering in Israel Tel Aviv</w:t>
      </w:r>
    </w:p>
    <w:p>
      <w:pPr>
        <w:pStyle w:val="FirstParagraph"/>
      </w:pPr>
      <w:r>
        <w:t xml:space="preserve">This Invoice details the professional services rendered by a certified Mechatronics Engineer specializing in the integration of mechanical systems, electronics, and control engineering. The work was conducted within the high-tech industrial sector of Israel Tel Aviv, adhering to strict international standards and local regulations. The scope included the design, simulation, and on-site calibration of robotic actuators and sensor networks essential for the client's automated manufacturing process.</w:t>
      </w:r>
    </w:p>
    <w:bookmarkEnd w:id="24"/>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(ILS)</w:t>
            </w:r>
          </w:p>
        </w:tc>
        <w:tc>
          <w:tcPr/>
          <w:p>
            <w:pPr>
              <w:pStyle w:val="Compact"/>
              <w:jc w:val="left"/>
            </w:pPr>
            <w:r>
              <w:t xml:space="preserve">Amount (ILS)</w:t>
            </w:r>
          </w:p>
        </w:tc>
      </w:tr>
      <w:tr>
        <w:tc>
          <w:tcPr/>
          <w:p>
            <w:pPr>
              <w:pStyle w:val="Compact"/>
              <w:jc w:val="left"/>
            </w:pPr>
            <w:r>
              <w:t xml:space="preserve">1</w:t>
            </w:r>
          </w:p>
        </w:tc>
        <w:tc>
          <w:tcPr/>
          <w:p>
            <w:pPr>
              <w:pStyle w:val="Compact"/>
              <w:jc w:val="left"/>
            </w:pPr>
            <w:r>
              <w:rPr>
                <w:bCs/>
                <w:b/>
              </w:rPr>
              <w:t xml:space="preserve">System Architecture Design:</w:t>
            </w:r>
            <w:r>
              <w:t xml:space="preserve"> </w:t>
            </w:r>
            <w:r>
              <w:t xml:space="preserve">Comprehensive mechatronic system design for the new assembly line. This involved creating CAD models for mechanical linkages and selecting appropriate electronic components (PLCs, sensors, motors) suitable for the Tel Aviv industrial environment.</w:t>
            </w:r>
          </w:p>
        </w:tc>
        <w:tc>
          <w:tcPr/>
          <w:p>
            <w:pPr>
              <w:pStyle w:val="Compact"/>
              <w:jc w:val="left"/>
            </w:pPr>
            <w:r>
              <w:t xml:space="preserve">40</w:t>
            </w:r>
          </w:p>
        </w:tc>
        <w:tc>
          <w:tcPr/>
          <w:p>
            <w:pPr>
              <w:pStyle w:val="Compact"/>
              <w:jc w:val="left"/>
            </w:pPr>
            <w:r>
              <w:t xml:space="preserve">450.00</w:t>
            </w:r>
          </w:p>
        </w:tc>
        <w:tc>
          <w:tcPr/>
          <w:p>
            <w:pPr>
              <w:pStyle w:val="Compact"/>
              <w:jc w:val="left"/>
            </w:pPr>
            <w:r>
              <w:t xml:space="preserve">18,000.00</w:t>
            </w:r>
          </w:p>
        </w:tc>
      </w:tr>
      <w:tr>
        <w:tc>
          <w:tcPr/>
          <w:p>
            <w:pPr>
              <w:pStyle w:val="Compact"/>
              <w:jc w:val="left"/>
            </w:pPr>
            <w:r>
              <w:t xml:space="preserve">2</w:t>
            </w:r>
          </w:p>
        </w:tc>
        <w:tc>
          <w:tcPr/>
          <w:p>
            <w:pPr>
              <w:pStyle w:val="Compact"/>
              <w:jc w:val="left"/>
            </w:pPr>
            <w:r>
              <w:rPr>
                <w:bCs/>
                <w:b/>
              </w:rPr>
              <w:t xml:space="preserve">Embedded Control Programming:</w:t>
            </w:r>
            <w:r>
              <w:t xml:space="preserve"> </w:t>
            </w:r>
            <w:r>
              <w:t xml:space="preserve">Development of firmware for microcontrollers and configuration of Programmable Logic Controllers (PLCs). The code ensures precise synchronization between mechanical movements and electronic feedback loops, critical for high-speed automation.</w:t>
            </w:r>
          </w:p>
        </w:tc>
        <w:tc>
          <w:tcPr/>
          <w:p>
            <w:pPr>
              <w:pStyle w:val="Compact"/>
              <w:jc w:val="left"/>
            </w:pPr>
            <w:r>
              <w:t xml:space="preserve">60</w:t>
            </w:r>
          </w:p>
        </w:tc>
        <w:tc>
          <w:tcPr/>
          <w:p>
            <w:pPr>
              <w:pStyle w:val="Compact"/>
              <w:jc w:val="left"/>
            </w:pPr>
            <w:r>
              <w:t xml:space="preserve">450.00</w:t>
            </w:r>
          </w:p>
        </w:tc>
        <w:tc>
          <w:tcPr/>
          <w:p>
            <w:pPr>
              <w:pStyle w:val="Compact"/>
              <w:jc w:val="left"/>
            </w:pPr>
            <w:r>
              <w:t xml:space="preserve">27,000.00</w:t>
            </w:r>
          </w:p>
        </w:tc>
      </w:tr>
      <w:tr>
        <w:tc>
          <w:tcPr/>
          <w:p>
            <w:pPr>
              <w:pStyle w:val="Compact"/>
              <w:jc w:val="left"/>
            </w:pPr>
            <w:r>
              <w:t xml:space="preserve">3</w:t>
            </w:r>
          </w:p>
        </w:tc>
        <w:tc>
          <w:tcPr/>
          <w:p>
            <w:pPr>
              <w:pStyle w:val="Compact"/>
              <w:jc w:val="left"/>
            </w:pPr>
            <w:r>
              <w:rPr>
                <w:bCs/>
                <w:b/>
              </w:rPr>
              <w:t xml:space="preserve">On-Site Integration &amp; Calibration:</w:t>
            </w:r>
            <w:r>
              <w:t xml:space="preserve"> </w:t>
            </w:r>
            <w:r>
              <w:t xml:space="preserve">Physical installation of sensors and actuators at the Tel Aviv facility. This included wiring, mounting, and calibrating vision systems to ensure accurate object detection and handling by the robotic arms.</w:t>
            </w:r>
          </w:p>
        </w:tc>
        <w:tc>
          <w:tcPr/>
          <w:p>
            <w:pPr>
              <w:pStyle w:val="Compact"/>
              <w:jc w:val="left"/>
            </w:pPr>
            <w:r>
              <w:t xml:space="preserve">30</w:t>
            </w:r>
          </w:p>
        </w:tc>
        <w:tc>
          <w:tcPr/>
          <w:p>
            <w:pPr>
              <w:pStyle w:val="Compact"/>
              <w:jc w:val="left"/>
            </w:pPr>
            <w:r>
              <w:t xml:space="preserve">500.00</w:t>
            </w:r>
          </w:p>
        </w:tc>
        <w:tc>
          <w:tcPr/>
          <w:p>
            <w:pPr>
              <w:pStyle w:val="Compact"/>
              <w:jc w:val="left"/>
            </w:pPr>
            <w:r>
              <w:t xml:space="preserve">15,000.00</w:t>
            </w:r>
          </w:p>
        </w:tc>
      </w:tr>
      <w:tr>
        <w:tc>
          <w:tcPr/>
          <w:p>
            <w:pPr>
              <w:pStyle w:val="Compact"/>
              <w:jc w:val="left"/>
            </w:pPr>
            <w:r>
              <w:t xml:space="preserve">4</w:t>
            </w:r>
          </w:p>
        </w:tc>
        <w:tc>
          <w:tcPr/>
          <w:p>
            <w:pPr>
              <w:pStyle w:val="Compact"/>
              <w:jc w:val="left"/>
            </w:pPr>
            <w:r>
              <w:rPr>
                <w:bCs/>
                <w:b/>
              </w:rPr>
              <w:t xml:space="preserve">Safety Compliance Audit:</w:t>
            </w:r>
            <w:r>
              <w:t xml:space="preserve"> </w:t>
            </w:r>
            <w:r>
              <w:t xml:space="preserve">Review of the mechatronic system against Israeli safety standards (SII) and ISO 10218 for industrial robots. Ensuring emergency stop circuits and light curtains are correctly integrated into the control logic.</w:t>
            </w:r>
          </w:p>
        </w:tc>
        <w:tc>
          <w:tcPr/>
          <w:p>
            <w:pPr>
              <w:pStyle w:val="Compact"/>
              <w:jc w:val="left"/>
            </w:pPr>
            <w:r>
              <w:t xml:space="preserve">10</w:t>
            </w:r>
          </w:p>
        </w:tc>
        <w:tc>
          <w:tcPr/>
          <w:p>
            <w:pPr>
              <w:pStyle w:val="Compact"/>
              <w:jc w:val="left"/>
            </w:pPr>
            <w:r>
              <w:t xml:space="preserve">500.00</w:t>
            </w:r>
          </w:p>
        </w:tc>
        <w:tc>
          <w:tcPr/>
          <w:p>
            <w:pPr>
              <w:pStyle w:val="Compact"/>
              <w:jc w:val="left"/>
            </w:pPr>
            <w:r>
              <w:t xml:space="preserve">5,000.00</w:t>
            </w:r>
          </w:p>
        </w:tc>
      </w:tr>
      <w:tr>
        <w:tc>
          <w:tcPr/>
          <w:p>
            <w:pPr>
              <w:pStyle w:val="Compact"/>
              <w:jc w:val="left"/>
            </w:pPr>
            <w:r>
              <w:t xml:space="preserve">5</w:t>
            </w:r>
          </w:p>
        </w:tc>
        <w:tc>
          <w:tcPr/>
          <w:p>
            <w:pPr>
              <w:pStyle w:val="Compact"/>
              <w:jc w:val="left"/>
            </w:pPr>
            <w:r>
              <w:rPr>
                <w:bCs/>
                <w:b/>
              </w:rPr>
              <w:t xml:space="preserve">Technical Documentation:</w:t>
            </w:r>
            <w:r>
              <w:t xml:space="preserve"> </w:t>
            </w:r>
            <w:r>
              <w:t xml:space="preserve">Preparation of detailed engineering reports, wiring diagrams, and user manuals for the maintenance team. Documentation is provided in English and Hebrew to facilitate operations in Israel Tel Aviv.</w:t>
            </w:r>
          </w:p>
        </w:tc>
        <w:tc>
          <w:tcPr/>
          <w:p>
            <w:pPr>
              <w:pStyle w:val="Compact"/>
              <w:jc w:val="left"/>
            </w:pPr>
            <w:r>
              <w:t xml:space="preserve">15</w:t>
            </w:r>
          </w:p>
        </w:tc>
        <w:tc>
          <w:tcPr/>
          <w:p>
            <w:pPr>
              <w:pStyle w:val="Compact"/>
              <w:jc w:val="left"/>
            </w:pPr>
            <w:r>
              <w:t xml:space="preserve">400.00</w:t>
            </w:r>
          </w:p>
        </w:tc>
        <w:tc>
          <w:tcPr/>
          <w:p>
            <w:pPr>
              <w:pStyle w:val="Compact"/>
              <w:jc w:val="left"/>
            </w:pPr>
            <w:r>
              <w:t xml:space="preserve">6,000.00</w:t>
            </w:r>
          </w:p>
        </w:tc>
      </w:tr>
    </w:tbl>
    <w:p>
      <w:pPr>
        <w:pStyle w:val="BodyText"/>
      </w:pPr>
      <w:r>
        <w:t xml:space="preserve">Subtotal:</w:t>
      </w:r>
      <w:r>
        <w:t xml:space="preserve"> </w:t>
      </w:r>
      <w:r>
        <w:t xml:space="preserve">71,000.00 ILS</w:t>
      </w:r>
    </w:p>
    <w:p>
      <w:pPr>
        <w:pStyle w:val="BodyText"/>
      </w:pPr>
      <w:r>
        <w:t xml:space="preserve">VAT (17%):</w:t>
      </w:r>
      <w:r>
        <w:t xml:space="preserve"> </w:t>
      </w:r>
      <w:r>
        <w:t xml:space="preserve">12,070.00 ILS</w:t>
      </w:r>
    </w:p>
    <w:p>
      <w:pPr>
        <w:pStyle w:val="BodyText"/>
      </w:pPr>
      <w:r>
        <w:t xml:space="preserve">Total Due:</w:t>
      </w:r>
      <w:r>
        <w:t xml:space="preserve"> </w:t>
      </w:r>
      <w:r>
        <w:t xml:space="preserve">83,070.00 ILS</w:t>
      </w:r>
    </w:p>
    <w:bookmarkStart w:id="25" w:name="payment-terms-conditions"/>
    <w:p>
      <w:pPr>
        <w:pStyle w:val="Heading3"/>
      </w:pPr>
      <w:r>
        <w:t xml:space="preserve">Payment Terms &amp; Conditions</w:t>
      </w:r>
    </w:p>
    <w:p>
      <w:pPr>
        <w:pStyle w:val="FirstParagraph"/>
      </w:pPr>
      <w:r>
        <w:rPr>
          <w:bCs/>
          <w:b/>
        </w:rPr>
        <w:t xml:space="preserve">Payment Method:</w:t>
      </w:r>
      <w:r>
        <w:t xml:space="preserve"> </w:t>
      </w:r>
      <w:r>
        <w:t xml:space="preserve">Bank Transfer (Shekel Account).</w:t>
      </w:r>
    </w:p>
    <w:p>
      <w:pPr>
        <w:pStyle w:val="BodyText"/>
      </w:pPr>
      <w:r>
        <w:rPr>
          <w:bCs/>
          <w:b/>
        </w:rPr>
        <w:t xml:space="preserve">Bank Details:</w:t>
      </w:r>
    </w:p>
    <w:p>
      <w:pPr>
        <w:pStyle w:val="BodyText"/>
      </w:pPr>
      <w:r>
        <w:t xml:space="preserve">Bank: Bank Hapoalim</w:t>
      </w:r>
      <w:r>
        <w:br/>
      </w:r>
      <w:r>
        <w:t xml:space="preserve">Branch: Tel Aviv Central</w:t>
      </w:r>
      <w:r>
        <w:br/>
      </w:r>
      <w:r>
        <w:t xml:space="preserve">Account Name: Advanced Mechatronics Solutions Ltd.</w:t>
      </w:r>
      <w:r>
        <w:br/>
      </w:r>
      <w:r>
        <w:t xml:space="preserve">Account Number: 999999-123456</w:t>
      </w:r>
      <w:r>
        <w:br/>
      </w:r>
      <w:r>
        <w:t xml:space="preserve">SWIFT Code: POALILIT</w:t>
      </w:r>
    </w:p>
    <w:p>
      <w:pPr>
        <w:pStyle w:val="BodyText"/>
      </w:pPr>
      <w:r>
        <w:rPr>
          <w:bCs/>
          <w:b/>
        </w:rPr>
        <w:t xml:space="preserve">Terms:</w:t>
      </w:r>
      <w:r>
        <w:t xml:space="preserve"> </w:t>
      </w:r>
      <w:r>
        <w:t xml:space="preserve">Payment is due within 30 days of the Invoice date. Late payments may incur interest charges in accordance with Israeli law. Please reference the Invoice Number (INV-2023-TLV-0892) when making payment.</w:t>
      </w:r>
    </w:p>
    <w:p>
      <w:pPr>
        <w:pStyle w:val="BodyText"/>
      </w:pPr>
      <w:r>
        <w:rPr>
          <w:bCs/>
          <w:b/>
        </w:rPr>
        <w:t xml:space="preserve">Service Guarantee:</w:t>
      </w:r>
      <w:r>
        <w:t xml:space="preserve"> </w:t>
      </w:r>
      <w:r>
        <w:t xml:space="preserve">As a leading provider of Mechatronics Engineering services in Israel Tel Aviv, we guarantee the functionality of the integrated systems for a period of 90 days from the date of final acceptance. Any defects arising from design or installation errors will be rectified at no additional cost.</w:t>
      </w:r>
    </w:p>
    <w:p>
      <w:pPr>
        <w:pStyle w:val="BodyText"/>
      </w:pPr>
      <w:r>
        <w:rPr>
          <w:bCs/>
          <w:b/>
        </w:rPr>
        <w:t xml:space="preserve">Technical Note:</w:t>
      </w:r>
      <w:r>
        <w:t xml:space="preserve"> </w:t>
      </w:r>
      <w:r>
        <w:t xml:space="preserve">The Mechatronics Engineer responsible for this project has verified that all electronic components are rated for the ambient temperature and humidity conditions typical of the Tel Aviv coastal industrial zone. Regular maintenance is recommended to ensure optimal performance of the pneumatic and hydraulic subsystems.</w:t>
      </w:r>
    </w:p>
    <w:bookmarkEnd w:id="25"/>
    <w:p>
      <w:pPr>
        <w:pStyle w:val="BodyText"/>
      </w:pPr>
      <w:r>
        <w:t xml:space="preserve">Authorized Signature</w:t>
      </w:r>
      <w:r>
        <w:br/>
      </w:r>
      <w:r>
        <w:t xml:space="preserve">Advanced Mechatronics Solutions Ltd.</w:t>
      </w:r>
    </w:p>
    <w:p>
      <w:pPr>
        <w:pStyle w:val="BodyText"/>
      </w:pPr>
      <w:r>
        <w:t xml:space="preserve">Received By</w:t>
      </w:r>
      <w:r>
        <w:br/>
      </w:r>
      <w:r>
        <w:t xml:space="preserve">Global Robotics Industries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Mechatronics Engineering Services</dc:title>
  <dc:creator/>
  <dc:language>en</dc:language>
  <cp:keywords/>
  <dcterms:created xsi:type="dcterms:W3CDTF">2026-10-10T02:46:04Z</dcterms:created>
  <dcterms:modified xsi:type="dcterms:W3CDTF">2026-10-10T02:46:04Z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