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pex-mechatronics-solutions"/>
    <w:p>
      <w:pPr>
        <w:pStyle w:val="Heading1"/>
      </w:pPr>
      <w:r>
        <w:t xml:space="preserve">Apex Mechatronics Solutions</w:t>
      </w:r>
    </w:p>
    <w:p>
      <w:pPr>
        <w:pStyle w:val="FirstParagraph"/>
      </w:pPr>
      <w:r>
        <w:rPr>
          <w:bCs/>
          <w:b/>
        </w:rPr>
        <w:t xml:space="preserve">Lead Consultant:</w:t>
      </w:r>
      <w:r>
        <w:t xml:space="preserve"> </w:t>
      </w:r>
      <w:r>
        <w:t xml:space="preserve">Engr. Ibrahim Musa (COREN Registered)</w:t>
      </w:r>
    </w:p>
    <w:p>
      <w:pPr>
        <w:pStyle w:val="BodyText"/>
      </w:pPr>
      <w:r>
        <w:t xml:space="preserve">Plot 14, Industrial Extension Road, Wuse II</w:t>
      </w:r>
    </w:p>
    <w:p>
      <w:pPr>
        <w:pStyle w:val="BodyText"/>
      </w:pPr>
      <w:r>
        <w:t xml:space="preserve">FCT, Nigeria Abuja</w:t>
      </w:r>
    </w:p>
    <w:p>
      <w:pPr>
        <w:pStyle w:val="BodyText"/>
      </w:pPr>
      <w:r>
        <w:t xml:space="preserve">Email: billing@apexmechatronics.ng</w:t>
      </w:r>
    </w:p>
    <w:p>
      <w:pPr>
        <w:pStyle w:val="BodyText"/>
      </w:pPr>
      <w:r>
        <w:t xml:space="preserve">Phone: +234 800 123 4567</w:t>
      </w:r>
    </w:p>
    <w:p>
      <w:pPr>
        <w:pStyle w:val="BodyText"/>
      </w:pPr>
      <w:r>
        <w:t xml:space="preserve">TIN: 12345678-0001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AMS-2023-0089</w:t>
      </w:r>
      <w:r>
        <w:t xml:space="preserve"> </w:t>
      </w:r>
      <w:r>
        <w:rPr>
          <w:bCs/>
          <w:b/>
        </w:rPr>
        <w:t xml:space="preserve">Date Issued:</w:t>
      </w:r>
      <w:r>
        <w:t xml:space="preserve"> </w:t>
      </w:r>
      <w:r>
        <w:t xml:space="preserve">October 24, 2023</w:t>
      </w:r>
      <w:r>
        <w:t xml:space="preserve"> </w:t>
      </w:r>
      <w:r>
        <w:rPr>
          <w:bCs/>
          <w:b/>
        </w:rPr>
        <w:t xml:space="preserve">Due Date:</w:t>
      </w:r>
      <w:r>
        <w:t xml:space="preserve"> </w:t>
      </w:r>
      <w:r>
        <w:t xml:space="preserve">November 07, 2023</w:t>
      </w:r>
      <w:r>
        <w:t xml:space="preserve"> </w:t>
      </w:r>
      <w:r>
        <w:rPr>
          <w:bCs/>
          <w:b/>
        </w:rPr>
        <w:t xml:space="preserve">Project Reference:</w:t>
      </w:r>
      <w:r>
        <w:t xml:space="preserve"> </w:t>
      </w:r>
      <w:r>
        <w:t xml:space="preserve">AUTOMATION-ABJ-04</w:t>
      </w:r>
    </w:p>
    <w:bookmarkEnd w:id="21"/>
    <w:bookmarkStart w:id="22" w:name="bill-to"/>
    <w:p>
      <w:pPr>
        <w:pStyle w:val="Heading3"/>
      </w:pPr>
      <w:r>
        <w:t xml:space="preserve">Bill To:</w:t>
      </w:r>
    </w:p>
    <w:p>
      <w:pPr>
        <w:pStyle w:val="FirstParagraph"/>
      </w:pPr>
      <w:r>
        <w:rPr>
          <w:bCs/>
          <w:b/>
        </w:rPr>
        <w:t xml:space="preserve">Nigerian Industrial Automation Ltd.</w:t>
      </w:r>
    </w:p>
    <w:p>
      <w:pPr>
        <w:pStyle w:val="BodyText"/>
      </w:pPr>
      <w:r>
        <w:t xml:space="preserve">Attn: Procurement Department</w:t>
      </w:r>
    </w:p>
    <w:p>
      <w:pPr>
        <w:pStyle w:val="BodyText"/>
      </w:pPr>
      <w:r>
        <w:t xml:space="preserve">15, Aguiyi Ironsi Street, Maitama</w:t>
      </w:r>
    </w:p>
    <w:p>
      <w:pPr>
        <w:pStyle w:val="BodyText"/>
      </w:pPr>
      <w:r>
        <w:t xml:space="preserve">FCT, Nigeria Abuja</w:t>
      </w:r>
    </w:p>
    <w:p>
      <w:pPr>
        <w:pStyle w:val="BodyText"/>
      </w:pPr>
      <w:r>
        <w:t xml:space="preserve">Email: accounts@niautomations.ng</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Rate (NGN)</w:t>
            </w:r>
          </w:p>
        </w:tc>
        <w:tc>
          <w:tcPr/>
          <w:p>
            <w:pPr>
              <w:pStyle w:val="Compact"/>
              <w:jc w:val="left"/>
            </w:pPr>
            <w:r>
              <w:t xml:space="preserve">Total (NGN)</w:t>
            </w:r>
          </w:p>
        </w:tc>
      </w:tr>
      <w:tr>
        <w:tc>
          <w:tcPr/>
          <w:p>
            <w:pPr>
              <w:pStyle w:val="Compact"/>
              <w:jc w:val="left"/>
            </w:pPr>
            <w:r>
              <w:t xml:space="preserve">1</w:t>
            </w:r>
          </w:p>
        </w:tc>
        <w:tc>
          <w:tcPr/>
          <w:p>
            <w:pPr>
              <w:pStyle w:val="Compact"/>
              <w:jc w:val="left"/>
            </w:pPr>
            <w:r>
              <w:rPr>
                <w:bCs/>
                <w:b/>
              </w:rPr>
              <w:t xml:space="preserve">System Architecture Design &amp; Consultation</w:t>
            </w:r>
            <w:r>
              <w:br/>
            </w:r>
            <w:r>
              <w:t xml:space="preserve">Comprehensive design of the mechatronic control system for the new assembly line. This includes the integration of mechanical structures with electronic control units (ECUs) and software logic. As a specialized Mechatronics Engineer operating in Nigeria Abuja, this service ensures compliance with local industrial standards and international safety protocols.</w:t>
            </w:r>
          </w:p>
        </w:tc>
        <w:tc>
          <w:tcPr/>
          <w:p>
            <w:pPr>
              <w:pStyle w:val="Compact"/>
              <w:jc w:val="left"/>
            </w:pPr>
            <w:r>
              <w:t xml:space="preserve">40</w:t>
            </w:r>
          </w:p>
        </w:tc>
        <w:tc>
          <w:tcPr/>
          <w:p>
            <w:pPr>
              <w:pStyle w:val="Compact"/>
              <w:jc w:val="left"/>
            </w:pPr>
            <w:r>
              <w:t xml:space="preserve">45,000.00</w:t>
            </w:r>
          </w:p>
        </w:tc>
        <w:tc>
          <w:tcPr/>
          <w:p>
            <w:pPr>
              <w:pStyle w:val="Compact"/>
              <w:jc w:val="left"/>
            </w:pPr>
            <w:r>
              <w:t xml:space="preserve">1,800,000.00</w:t>
            </w:r>
          </w:p>
        </w:tc>
      </w:tr>
      <w:tr>
        <w:tc>
          <w:tcPr/>
          <w:p>
            <w:pPr>
              <w:pStyle w:val="Compact"/>
              <w:jc w:val="left"/>
            </w:pPr>
            <w:r>
              <w:t xml:space="preserve">2</w:t>
            </w:r>
          </w:p>
        </w:tc>
        <w:tc>
          <w:tcPr/>
          <w:p>
            <w:pPr>
              <w:pStyle w:val="Compact"/>
              <w:jc w:val="left"/>
            </w:pPr>
            <w:r>
              <w:rPr>
                <w:bCs/>
                <w:b/>
              </w:rPr>
              <w:t xml:space="preserve">PLC Programming &amp; HMI Development</w:t>
            </w:r>
            <w:r>
              <w:br/>
            </w:r>
            <w:r>
              <w:t xml:space="preserve">Advanced programming of Programmable Logic Controllers (Siemens S7-1200 series) and development of Human-Machine Interface (HMI) screens. This task involves creating robust logic for sensor feedback loops, motor control, and error handling systems essential for automated manufacturing environments.</w:t>
            </w:r>
          </w:p>
        </w:tc>
        <w:tc>
          <w:tcPr/>
          <w:p>
            <w:pPr>
              <w:pStyle w:val="Compact"/>
              <w:jc w:val="left"/>
            </w:pPr>
            <w:r>
              <w:t xml:space="preserve">60</w:t>
            </w:r>
          </w:p>
        </w:tc>
        <w:tc>
          <w:tcPr/>
          <w:p>
            <w:pPr>
              <w:pStyle w:val="Compact"/>
              <w:jc w:val="left"/>
            </w:pPr>
            <w:r>
              <w:t xml:space="preserve">50,000.00</w:t>
            </w:r>
          </w:p>
        </w:tc>
        <w:tc>
          <w:tcPr/>
          <w:p>
            <w:pPr>
              <w:pStyle w:val="Compact"/>
              <w:jc w:val="left"/>
            </w:pPr>
            <w:r>
              <w:t xml:space="preserve">3,000,000.00</w:t>
            </w:r>
          </w:p>
        </w:tc>
      </w:tr>
      <w:tr>
        <w:tc>
          <w:tcPr/>
          <w:p>
            <w:pPr>
              <w:pStyle w:val="Compact"/>
              <w:jc w:val="left"/>
            </w:pPr>
            <w:r>
              <w:t xml:space="preserve">3</w:t>
            </w:r>
          </w:p>
        </w:tc>
        <w:tc>
          <w:tcPr/>
          <w:p>
            <w:pPr>
              <w:pStyle w:val="Compact"/>
              <w:jc w:val="left"/>
            </w:pPr>
            <w:r>
              <w:rPr>
                <w:bCs/>
                <w:b/>
              </w:rPr>
              <w:t xml:space="preserve">Robotics Integration &amp; Calibration</w:t>
            </w:r>
            <w:r>
              <w:br/>
            </w:r>
            <w:r>
              <w:t xml:space="preserve">Installation and calibration of 6-axis robotic arms for precision welding tasks. This service includes path planning, kinematic configuration, and safety zone programming. The Mechatronics Engineer ensures seamless communication between the robots and the central supervisory control system.</w:t>
            </w:r>
          </w:p>
        </w:tc>
        <w:tc>
          <w:tcPr/>
          <w:p>
            <w:pPr>
              <w:pStyle w:val="Compact"/>
              <w:jc w:val="left"/>
            </w:pPr>
            <w:r>
              <w:t xml:space="preserve">30</w:t>
            </w:r>
          </w:p>
        </w:tc>
        <w:tc>
          <w:tcPr/>
          <w:p>
            <w:pPr>
              <w:pStyle w:val="Compact"/>
              <w:jc w:val="left"/>
            </w:pPr>
            <w:r>
              <w:t xml:space="preserve">65,000.00</w:t>
            </w:r>
          </w:p>
        </w:tc>
        <w:tc>
          <w:tcPr/>
          <w:p>
            <w:pPr>
              <w:pStyle w:val="Compact"/>
              <w:jc w:val="left"/>
            </w:pPr>
            <w:r>
              <w:t xml:space="preserve">1,950,000.00</w:t>
            </w:r>
          </w:p>
        </w:tc>
      </w:tr>
      <w:tr>
        <w:tc>
          <w:tcPr/>
          <w:p>
            <w:pPr>
              <w:pStyle w:val="Compact"/>
              <w:jc w:val="left"/>
            </w:pPr>
            <w:r>
              <w:t xml:space="preserve">4</w:t>
            </w:r>
          </w:p>
        </w:tc>
        <w:tc>
          <w:tcPr/>
          <w:p>
            <w:pPr>
              <w:pStyle w:val="Compact"/>
              <w:jc w:val="left"/>
            </w:pPr>
            <w:r>
              <w:rPr>
                <w:bCs/>
                <w:b/>
              </w:rPr>
              <w:t xml:space="preserve">Sensor Network Deployment &amp; Wiring</w:t>
            </w:r>
            <w:r>
              <w:br/>
            </w:r>
            <w:r>
              <w:t xml:space="preserve">Physical installation of proximity sensors, encoders, and vision systems. This includes structured cabling, termination, and signal integrity testing to ensure reliable data transmission within the facility located in Nigeria Abuja.</w:t>
            </w:r>
          </w:p>
        </w:tc>
        <w:tc>
          <w:tcPr/>
          <w:p>
            <w:pPr>
              <w:pStyle w:val="Compact"/>
              <w:jc w:val="left"/>
            </w:pPr>
            <w:r>
              <w:t xml:space="preserve">25</w:t>
            </w:r>
          </w:p>
        </w:tc>
        <w:tc>
          <w:tcPr/>
          <w:p>
            <w:pPr>
              <w:pStyle w:val="Compact"/>
              <w:jc w:val="left"/>
            </w:pPr>
            <w:r>
              <w:t xml:space="preserve">40,000.00</w:t>
            </w:r>
          </w:p>
        </w:tc>
        <w:tc>
          <w:tcPr/>
          <w:p>
            <w:pPr>
              <w:pStyle w:val="Compact"/>
              <w:jc w:val="left"/>
            </w:pPr>
            <w:r>
              <w:t xml:space="preserve">1,000,000.00</w:t>
            </w:r>
          </w:p>
        </w:tc>
      </w:tr>
      <w:tr>
        <w:tc>
          <w:tcPr/>
          <w:p>
            <w:pPr>
              <w:pStyle w:val="Compact"/>
              <w:jc w:val="left"/>
            </w:pPr>
            <w:r>
              <w:t xml:space="preserve">5</w:t>
            </w:r>
          </w:p>
        </w:tc>
        <w:tc>
          <w:tcPr/>
          <w:p>
            <w:pPr>
              <w:pStyle w:val="Compact"/>
              <w:jc w:val="left"/>
            </w:pPr>
            <w:r>
              <w:rPr>
                <w:bCs/>
                <w:b/>
              </w:rPr>
              <w:t xml:space="preserve">System Testing, Commissioning &amp; Training</w:t>
            </w:r>
            <w:r>
              <w:br/>
            </w:r>
            <w:r>
              <w:t xml:space="preserve">End-to-end testing of the integrated mechatronic system. This phase involves stress testing, fault simulation, and optimization of cycle times. Additionally, this line item covers a 2-day training workshop for your technical staff on system operation and basic troubleshooting.</w:t>
            </w:r>
          </w:p>
        </w:tc>
        <w:tc>
          <w:tcPr/>
          <w:p>
            <w:pPr>
              <w:pStyle w:val="Compact"/>
              <w:jc w:val="left"/>
            </w:pPr>
            <w:r>
              <w:t xml:space="preserve">20</w:t>
            </w:r>
          </w:p>
        </w:tc>
        <w:tc>
          <w:tcPr/>
          <w:p>
            <w:pPr>
              <w:pStyle w:val="Compact"/>
              <w:jc w:val="left"/>
            </w:pPr>
            <w:r>
              <w:t xml:space="preserve">55,000.00</w:t>
            </w:r>
          </w:p>
        </w:tc>
        <w:tc>
          <w:tcPr/>
          <w:p>
            <w:pPr>
              <w:pStyle w:val="Compact"/>
              <w:jc w:val="left"/>
            </w:pPr>
            <w:r>
              <w:t xml:space="preserve">1,100,000.00</w:t>
            </w:r>
          </w:p>
        </w:tc>
      </w:tr>
    </w:tbl>
    <w:p>
      <w:pPr>
        <w:pStyle w:val="BodyText"/>
      </w:pPr>
      <w:r>
        <w:t xml:space="preserve">Subtotal:</w:t>
      </w:r>
      <w:r>
        <w:t xml:space="preserve"> </w:t>
      </w:r>
      <w:r>
        <w:t xml:space="preserve">₦ 8,850,000.00</w:t>
      </w:r>
    </w:p>
    <w:p>
      <w:pPr>
        <w:pStyle w:val="BodyText"/>
      </w:pPr>
      <w:r>
        <w:t xml:space="preserve">VAT (7.5%):</w:t>
      </w:r>
      <w:r>
        <w:t xml:space="preserve"> </w:t>
      </w:r>
      <w:r>
        <w:t xml:space="preserve">₦ 663,750.00</w:t>
      </w:r>
    </w:p>
    <w:p>
      <w:pPr>
        <w:pStyle w:val="BodyText"/>
      </w:pPr>
      <w:r>
        <w:t xml:space="preserve">Total Due:</w:t>
      </w:r>
      <w:r>
        <w:t xml:space="preserve"> </w:t>
      </w:r>
      <w:r>
        <w:t xml:space="preserve">₦ 9,513,750.00</w:t>
      </w:r>
    </w:p>
    <w:bookmarkStart w:id="23"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14 days of the invoice date. Late payments may incur a penalty of 2% per month.</w:t>
      </w:r>
    </w:p>
    <w:p>
      <w:pPr>
        <w:pStyle w:val="BodyText"/>
      </w:pPr>
      <w:r>
        <w:t xml:space="preserve">2.</w:t>
      </w:r>
      <w:r>
        <w:t xml:space="preserve"> </w:t>
      </w:r>
      <w:r>
        <w:rPr>
          <w:bCs/>
          <w:b/>
        </w:rPr>
        <w:t xml:space="preserve">Bank Details:</w:t>
      </w:r>
      <w:r>
        <w:t xml:space="preserve"> </w:t>
      </w:r>
      <w:r>
        <w:t xml:space="preserve">Please make payments via bank transfer to Apex Mechatronics Solutions, GTBank, Account No: 0123456789.</w:t>
      </w:r>
    </w:p>
    <w:p>
      <w:pPr>
        <w:pStyle w:val="BodyText"/>
      </w:pPr>
      <w:r>
        <w:t xml:space="preserve">3.</w:t>
      </w:r>
      <w:r>
        <w:t xml:space="preserve"> </w:t>
      </w:r>
      <w:r>
        <w:rPr>
          <w:bCs/>
          <w:b/>
        </w:rPr>
        <w:t xml:space="preserve">Scope of Work:</w:t>
      </w:r>
      <w:r>
        <w:t xml:space="preserve"> </w:t>
      </w:r>
      <w:r>
        <w:t xml:space="preserve">This Invoice covers the professional services rendered by a qualified Mechatronics Engineer. It includes design, programming, and integration services as detailed above. Hardware costs are billed separately under Purchase Order #PO-998.</w:t>
      </w:r>
    </w:p>
    <w:p>
      <w:pPr>
        <w:pStyle w:val="BodyText"/>
      </w:pPr>
      <w:r>
        <w:t xml:space="preserve">4.</w:t>
      </w:r>
      <w:r>
        <w:t xml:space="preserve"> </w:t>
      </w:r>
      <w:r>
        <w:rPr>
          <w:bCs/>
          <w:b/>
        </w:rPr>
        <w:t xml:space="preserve">Regulatory Compliance:</w:t>
      </w:r>
      <w:r>
        <w:t xml:space="preserve"> </w:t>
      </w:r>
      <w:r>
        <w:t xml:space="preserve">All engineering services provided in Nigeria Abuja adhere to the standards set by the Corporate Affairs Commission (CAC) and the Council for the Regulation of Engineering in Nigeria (COREN).</w:t>
      </w:r>
    </w:p>
    <w:p>
      <w:pPr>
        <w:pStyle w:val="BodyText"/>
      </w:pPr>
      <w:r>
        <w:t xml:space="preserve">5.</w:t>
      </w:r>
      <w:r>
        <w:t xml:space="preserve"> </w:t>
      </w:r>
      <w:r>
        <w:rPr>
          <w:bCs/>
          <w:b/>
        </w:rPr>
        <w:t xml:space="preserve">Warranty:</w:t>
      </w:r>
      <w:r>
        <w:t xml:space="preserve"> </w:t>
      </w:r>
      <w:r>
        <w:t xml:space="preserve">A 12-month warranty is provided on all programming and integration work. This warranty covers defects in logic and system integration but excludes damage caused by physical mishandling or power surges.</w:t>
      </w:r>
    </w:p>
    <w:p>
      <w:pPr>
        <w:pStyle w:val="BodyText"/>
      </w:pPr>
      <w:r>
        <w:t xml:space="preserve">6.</w:t>
      </w:r>
      <w:r>
        <w:t xml:space="preserve"> </w:t>
      </w:r>
      <w:r>
        <w:rPr>
          <w:bCs/>
          <w:b/>
        </w:rPr>
        <w:t xml:space="preserve">Dispute Resolution:</w:t>
      </w:r>
      <w:r>
        <w:t xml:space="preserve"> </w:t>
      </w:r>
      <w:r>
        <w:t xml:space="preserve">Any disputes arising from this Invoice shall be resolved through arbitration in Abuja, in accordance with Nigerian law.</w:t>
      </w:r>
    </w:p>
    <w:p>
      <w:pPr>
        <w:pStyle w:val="BodyText"/>
      </w:pPr>
      <w:r>
        <w:t xml:space="preserve">7.</w:t>
      </w:r>
      <w:r>
        <w:t xml:space="preserve"> </w:t>
      </w:r>
      <w:r>
        <w:rPr>
          <w:bCs/>
          <w:b/>
        </w:rPr>
        <w:t xml:space="preserve">Validity:</w:t>
      </w:r>
      <w:r>
        <w:t xml:space="preserve"> </w:t>
      </w:r>
      <w:r>
        <w:t xml:space="preserve">This Invoice is valid for 30 days. Please reference Invoice Number AMS-2023-0089 in all communications regarding this payment.</w:t>
      </w:r>
    </w:p>
    <w:bookmarkEnd w:id="23"/>
    <w:p>
      <w:pPr>
        <w:pStyle w:val="BodyText"/>
      </w:pPr>
      <w:r>
        <w:t xml:space="preserve">Thank you for your business. We are committed to delivering world-class Mechatronics Engineering solutions in Nigeria Abuja and beyond.</w:t>
      </w:r>
    </w:p>
    <w:p>
      <w:pPr>
        <w:pStyle w:val="BodyText"/>
      </w:pPr>
      <w:r>
        <w:t xml:space="preserve">Apex Mechatronics Solutions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2026-10-10T05:05:44Z</dcterms:created>
  <dcterms:modified xsi:type="dcterms:W3CDTF">2026-10-10T05:05:44Z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