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t xml:space="preserve">Professional Engineering Services</w:t>
      </w:r>
    </w:p>
    <w:p>
      <w:pPr>
        <w:pStyle w:val="BodyText"/>
      </w:pPr>
      <w:r>
        <w:t xml:space="preserve">Office 405, Al Hamra Tower, Al Rawdah District</w:t>
      </w:r>
    </w:p>
    <w:p>
      <w:pPr>
        <w:pStyle w:val="BodyText"/>
      </w:pPr>
      <w:r>
        <w:t xml:space="preserve">Jeddah, Makkah Province, Saudi Arabia</w:t>
      </w:r>
    </w:p>
    <w:p>
      <w:pPr>
        <w:pStyle w:val="BodyText"/>
      </w:pPr>
      <w:r>
        <w:t xml:space="preserve">Phone: +966 12 555 7890</w:t>
      </w:r>
    </w:p>
    <w:p>
      <w:pPr>
        <w:pStyle w:val="BodyText"/>
      </w:pPr>
      <w:r>
        <w:t xml:space="preserve">Email: billing@advancedmechatronics.sa</w:t>
      </w:r>
    </w:p>
    <w:p>
      <w:pPr>
        <w:pStyle w:val="BodyText"/>
      </w:pPr>
      <w:r>
        <w:t xml:space="preserve">VAT Registration Number: 300123456789003</w:t>
      </w:r>
    </w:p>
    <w:bookmarkEnd w:id="20"/>
    <w:bookmarkStart w:id="21" w:name="invoice"/>
    <w:p>
      <w:pPr>
        <w:pStyle w:val="Heading2"/>
      </w:pPr>
      <w:r>
        <w:t xml:space="preserve">INVOICE</w:t>
      </w:r>
    </w:p>
    <w:p>
      <w:pPr>
        <w:pStyle w:val="FirstParagraph"/>
      </w:pPr>
      <w:r>
        <w:t xml:space="preserve">For Professional Mechatronics Engineering Services</w:t>
      </w:r>
    </w:p>
    <w:bookmarkEnd w:id="21"/>
    <w:bookmarkStart w:id="22" w:name="bill-to"/>
    <w:p>
      <w:pPr>
        <w:pStyle w:val="Heading3"/>
      </w:pPr>
      <w:r>
        <w:t xml:space="preserve">Bill To:</w:t>
      </w:r>
    </w:p>
    <w:p>
      <w:pPr>
        <w:pStyle w:val="FirstParagraph"/>
      </w:pPr>
      <w:r>
        <w:rPr>
          <w:bCs/>
          <w:b/>
        </w:rPr>
        <w:t xml:space="preserve">Al Rajhi Industrial Complex</w:t>
      </w:r>
    </w:p>
    <w:p>
      <w:pPr>
        <w:pStyle w:val="BodyText"/>
      </w:pPr>
      <w:r>
        <w:t xml:space="preserve">Attn: Procurement Department</w:t>
      </w:r>
    </w:p>
    <w:p>
      <w:pPr>
        <w:pStyle w:val="BodyText"/>
      </w:pPr>
      <w:r>
        <w:t xml:space="preserve">King Abdullah Economic City Road</w:t>
      </w:r>
    </w:p>
    <w:p>
      <w:pPr>
        <w:pStyle w:val="BodyText"/>
      </w:pPr>
      <w:r>
        <w:t xml:space="preserve">Jeddah, Makkah Province, Saudi Arabia</w:t>
      </w:r>
    </w:p>
    <w:p>
      <w:pPr>
        <w:pStyle w:val="BodyText"/>
      </w:pPr>
      <w:r>
        <w:t xml:space="preserve">VAT Registration Number: 310987654321003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of Issue:</w:t>
            </w:r>
          </w:p>
        </w:tc>
        <w:tc>
          <w:tcPr/>
          <w:p>
            <w:pPr>
              <w:pStyle w:val="Compact"/>
              <w:jc w:val="left"/>
            </w:pPr>
            <w:r>
              <w:t xml:space="preserve">15 January 2024</w:t>
            </w:r>
          </w:p>
        </w:tc>
      </w:tr>
      <w:tr>
        <w:tc>
          <w:tcPr/>
          <w:p>
            <w:pPr>
              <w:pStyle w:val="Compact"/>
              <w:jc w:val="left"/>
            </w:pPr>
            <w:r>
              <w:t xml:space="preserve">Due Date:</w:t>
            </w:r>
          </w:p>
        </w:tc>
        <w:tc>
          <w:tcPr/>
          <w:p>
            <w:pPr>
              <w:pStyle w:val="Compact"/>
              <w:jc w:val="left"/>
            </w:pPr>
            <w:r>
              <w:t xml:space="preserve">14 February 2024</w:t>
            </w:r>
          </w:p>
        </w:tc>
      </w:tr>
      <w:tr>
        <w:tc>
          <w:tcPr/>
          <w:p>
            <w:pPr>
              <w:pStyle w:val="Compact"/>
              <w:jc w:val="left"/>
            </w:pPr>
            <w:r>
              <w:t xml:space="preserve">Project Reference:</w:t>
            </w:r>
          </w:p>
        </w:tc>
        <w:tc>
          <w:tcPr/>
          <w:p>
            <w:pPr>
              <w:pStyle w:val="Compact"/>
              <w:jc w:val="left"/>
            </w:pPr>
            <w:r>
              <w:t xml:space="preserve">MECH-JED-2024-003</w:t>
            </w:r>
          </w:p>
        </w:tc>
      </w:tr>
      <w:tr>
        <w:tc>
          <w:tcPr/>
          <w:p>
            <w:pPr>
              <w:pStyle w:val="Compact"/>
              <w:jc w:val="left"/>
            </w:pPr>
            <w:r>
              <w:t xml:space="preserve">Service Location:</w:t>
            </w:r>
          </w:p>
        </w:tc>
        <w:tc>
          <w:tcPr/>
          <w:p>
            <w:pPr>
              <w:pStyle w:val="Compact"/>
              <w:jc w:val="left"/>
            </w:pPr>
            <w:r>
              <w:t xml:space="preserve">Jeddah, Saudi Arabia</w:t>
            </w:r>
          </w:p>
        </w:tc>
      </w:tr>
    </w:tbl>
    <w:p>
      <w:pPr>
        <w:pStyle w:val="BodyText"/>
      </w:pPr>
      <w:r>
        <w:rPr>
          <w:bCs/>
          <w:b/>
        </w:rPr>
        <w:t xml:space="preserve">Value Added Tax (VAT) Notice:</w:t>
      </w:r>
      <w:r>
        <w:t xml:space="preserve"> </w:t>
      </w:r>
      <w:r>
        <w:t xml:space="preserve">This invoice is issued in accordance with the regulations of the Zakat, Tax and Customs Authority (ZATCA) of Saudi Arabia. A VAT rate of 15% has been applied to all taxable services rendered. This document serves as an official tax invoice for the provision of Mechatronics Engineering services within the Kingdom of Saudi Arabia.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Automated Production Line Integration</w:t>
            </w:r>
            <w:r>
              <w:br/>
            </w:r>
            <w:r>
              <w:t xml:space="preserve">Comprehensive design and implementation of PLC-controlled automation systems for manufacturing facility in Jeddah. Includes mechanical design, electrical wiring, sensor integration, and HMI programming.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Robotic Arm Programming and Calibration</w:t>
            </w:r>
            <w:r>
              <w:br/>
            </w:r>
            <w:r>
              <w:t xml:space="preserve">Specialized programming of 6-axis industrial robotic arms for precision assembly tasks. Includes path optimization, safety system integration, and operator training at the Jeddah facility.</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3,825.00</w:t>
            </w:r>
          </w:p>
        </w:tc>
      </w:tr>
      <w:tr>
        <w:tc>
          <w:tcPr/>
          <w:p>
            <w:pPr>
              <w:pStyle w:val="Compact"/>
              <w:jc w:val="left"/>
            </w:pPr>
            <w:r>
              <w:t xml:space="preserve">3</w:t>
            </w:r>
          </w:p>
        </w:tc>
        <w:tc>
          <w:tcPr/>
          <w:p>
            <w:pPr>
              <w:pStyle w:val="Compact"/>
              <w:jc w:val="left"/>
            </w:pPr>
            <w:r>
              <w:rPr>
                <w:bCs/>
                <w:b/>
              </w:rPr>
              <w:t xml:space="preserve">Predictive Maintenance System Installation</w:t>
            </w:r>
            <w:r>
              <w:br/>
            </w:r>
            <w:r>
              <w:t xml:space="preserve">Deployment of IoT-enabled vibration and temperature monitoring sensors across critical machinery. Includes data analytics dashboard setup and integration with existing SCADA systems.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Control System Upgrades and Optimization</w:t>
            </w:r>
            <w:r>
              <w:br/>
            </w:r>
            <w:r>
              <w:t xml:space="preserve">Modernization of legacy control panels with state-of-the-art programmable logic controllers. Includes migration of existing logic, safety relay integration, and comprehensive testing procedures.</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5,625.00</w:t>
            </w:r>
          </w:p>
        </w:tc>
      </w:tr>
      <w:tr>
        <w:tc>
          <w:tcPr/>
          <w:p>
            <w:pPr>
              <w:pStyle w:val="Compact"/>
              <w:jc w:val="left"/>
            </w:pPr>
            <w:r>
              <w:t xml:space="preserve">5</w:t>
            </w:r>
          </w:p>
        </w:tc>
        <w:tc>
          <w:tcPr/>
          <w:p>
            <w:pPr>
              <w:pStyle w:val="Compact"/>
              <w:jc w:val="left"/>
            </w:pPr>
            <w:r>
              <w:rPr>
                <w:bCs/>
                <w:b/>
              </w:rPr>
              <w:t xml:space="preserve">Technical Consultation and Engineering Support</w:t>
            </w:r>
            <w:r>
              <w:br/>
            </w:r>
            <w:r>
              <w:t xml:space="preserve">On-site engineering consultation for system architecture review, feasibility studies, and technical documentation preparation. Includes 40 hours of senior Mechatronics Engineer expertise.</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2,700.00</w:t>
            </w:r>
          </w:p>
        </w:tc>
      </w:tr>
      <w:tr>
        <w:tc>
          <w:tcPr/>
          <w:p>
            <w:pPr>
              <w:pStyle w:val="Compact"/>
              <w:jc w:val="left"/>
            </w:pPr>
            <w:r>
              <w:t xml:space="preserve">6</w:t>
            </w:r>
          </w:p>
        </w:tc>
        <w:tc>
          <w:tcPr/>
          <w:p>
            <w:pPr>
              <w:pStyle w:val="Compact"/>
              <w:jc w:val="left"/>
            </w:pPr>
            <w:r>
              <w:rPr>
                <w:bCs/>
                <w:b/>
              </w:rPr>
              <w:t xml:space="preserve">Safety System Compliance Audit</w:t>
            </w:r>
            <w:r>
              <w:br/>
            </w:r>
            <w:r>
              <w:t xml:space="preserve">Comprehensive review of all automated systems against Saudi Arabian Standards Organization (SASO) requirements and international safety standards (ISO 10218, ISO 13849).</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170,500.00 SAR</w:t>
            </w:r>
          </w:p>
        </w:tc>
      </w:tr>
      <w:tr>
        <w:tc>
          <w:tcPr/>
          <w:p>
            <w:pPr>
              <w:pStyle w:val="Compact"/>
              <w:jc w:val="left"/>
            </w:pPr>
            <w:r>
              <w:t xml:space="preserve">VAT (15%):</w:t>
            </w:r>
          </w:p>
        </w:tc>
        <w:tc>
          <w:tcPr/>
          <w:p>
            <w:pPr>
              <w:pStyle w:val="Compact"/>
              <w:jc w:val="left"/>
            </w:pPr>
            <w:r>
              <w:t xml:space="preserve">25,575.00 SAR</w:t>
            </w:r>
          </w:p>
        </w:tc>
      </w:tr>
      <w:tr>
        <w:tc>
          <w:tcPr/>
          <w:p>
            <w:pPr>
              <w:pStyle w:val="Compact"/>
              <w:jc w:val="left"/>
            </w:pPr>
            <w:r>
              <w:t xml:space="preserve">Total Amount Due:</w:t>
            </w:r>
          </w:p>
        </w:tc>
        <w:tc>
          <w:tcPr/>
          <w:p>
            <w:pPr>
              <w:pStyle w:val="Compact"/>
              <w:jc w:val="left"/>
            </w:pPr>
            <w:r>
              <w:t xml:space="preserve">196,075.00 SAR</w:t>
            </w:r>
          </w:p>
        </w:tc>
      </w:tr>
    </w:tbl>
    <w:bookmarkStart w:id="23" w:name="terms-and-conditions"/>
    <w:p>
      <w:pPr>
        <w:pStyle w:val="Heading3"/>
      </w:pPr>
      <w:r>
        <w:t xml:space="preserve">Terms and Conditions:</w:t>
      </w:r>
    </w:p>
    <w:p>
      <w:pPr>
        <w:pStyle w:val="FirstParagraph"/>
      </w:pPr>
      <w:r>
        <w:t xml:space="preserve">1. Payment is due within 30 days from the date of this invoice. Late payments will incur a penalty of 1.5% per month on the outstanding balance, in accordance with Saudi Arabian commercial regulations.</w:t>
      </w:r>
    </w:p>
    <w:p>
      <w:pPr>
        <w:pStyle w:val="BodyText"/>
      </w:pPr>
      <w:r>
        <w:t xml:space="preserve">2. All services have been performed by certified Mechatronics Engineers holding valid professional licenses issued by the Saudi Council of Engineers (SCE).</w:t>
      </w:r>
    </w:p>
    <w:p>
      <w:pPr>
        <w:pStyle w:val="BodyText"/>
      </w:pPr>
      <w:r>
        <w:t xml:space="preserve">3. This invoice is subject to the laws and regulations of the Kingdom of Saudi Arabia. Any disputes arising from this invoice shall be resolved through the appropriate judicial authorities in Jeddah.</w:t>
      </w:r>
    </w:p>
    <w:p>
      <w:pPr>
        <w:pStyle w:val="BodyText"/>
      </w:pPr>
      <w:r>
        <w:t xml:space="preserve">4. All work completed adheres to the technical specifications outlined in the project agreement dated 10 December 2023, and complies with all applicable Saudi Arabian industrial standards.</w:t>
      </w:r>
    </w:p>
    <w:p>
      <w:pPr>
        <w:pStyle w:val="BodyText"/>
      </w:pPr>
      <w:r>
        <w:t xml:space="preserve">5. Payment should be made via bank transfer to the account details provided below. Please reference the invoice number (INV-2024-0847) in all payment communications.</w:t>
      </w:r>
    </w:p>
    <w:p>
      <w:pPr>
        <w:pStyle w:val="BodyText"/>
      </w:pPr>
      <w:r>
        <w:t xml:space="preserve">6. This invoice is valid for tax purposes and has been issued in compliance with the e-invoicing requirements mandated by ZATCA. A digital copy of this invoice is available upon request.</w:t>
      </w:r>
    </w:p>
    <w:p>
      <w:pPr>
        <w:pStyle w:val="BodyText"/>
      </w:pPr>
      <w:r>
        <w:t xml:space="preserve">7. All intellectual property rights related to custom software, control logic, and engineering designs remain with Advanced Mechatronics Solutions Ltd. unless otherwise specified in the project contract.</w:t>
      </w:r>
    </w:p>
    <w:p>
      <w:pPr>
        <w:pStyle w:val="BodyText"/>
      </w:pPr>
      <w:r>
        <w:t xml:space="preserve">8. Warranty period for all installed systems and components is 12 months from the date of commissioning, covering defects in materials and workmanship under normal operating conditions.</w:t>
      </w:r>
    </w:p>
    <w:bookmarkEnd w:id="23"/>
    <w:bookmarkStart w:id="24" w:name="bank-transfer-details"/>
    <w:p>
      <w:pPr>
        <w:pStyle w:val="Heading3"/>
      </w:pPr>
      <w:r>
        <w:t xml:space="preserve">Bank Transfer Details:</w:t>
      </w:r>
    </w:p>
    <w:p>
      <w:pPr>
        <w:pStyle w:val="FirstParagraph"/>
      </w:pPr>
      <w:r>
        <w:rPr>
          <w:bCs/>
          <w:b/>
        </w:rPr>
        <w:t xml:space="preserve">Bank Name:</w:t>
      </w:r>
      <w:r>
        <w:t xml:space="preserve"> </w:t>
      </w:r>
      <w:r>
        <w:t xml:space="preserve">Al Rajhi Bank</w:t>
      </w:r>
    </w:p>
    <w:p>
      <w:pPr>
        <w:pStyle w:val="BodyText"/>
      </w:pPr>
      <w:r>
        <w:rPr>
          <w:bCs/>
          <w:b/>
        </w:rPr>
        <w:t xml:space="preserve">Account Name:</w:t>
      </w:r>
      <w:r>
        <w:t xml:space="preserve"> </w:t>
      </w:r>
      <w:r>
        <w:t xml:space="preserve">Advanced Mechatronics Solutions Ltd.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NBSASARIXXX</w:t>
      </w:r>
    </w:p>
    <w:p>
      <w:pPr>
        <w:pStyle w:val="BodyText"/>
      </w:pPr>
      <w:r>
        <w:rPr>
          <w:bCs/>
          <w:b/>
        </w:rPr>
        <w:t xml:space="preserve">Branch:</w:t>
      </w:r>
      <w:r>
        <w:t xml:space="preserve"> </w:t>
      </w:r>
      <w:r>
        <w:t xml:space="preserve">Al Rawdah Branch, Jeddah</w:t>
      </w:r>
    </w:p>
    <w:bookmarkEnd w:id="24"/>
    <w:p>
      <w:pPr>
        <w:pStyle w:val="BodyText"/>
      </w:pPr>
      <w:r>
        <w:rPr>
          <w:bCs/>
          <w:b/>
        </w:rPr>
        <w:t xml:space="preserve">Authorized Signature</w:t>
      </w:r>
    </w:p>
    <w:p>
      <w:pPr>
        <w:pStyle w:val="BodyText"/>
      </w:pPr>
      <w:r>
        <w:t xml:space="preserve">Advanced Mechatronics Solutions Ltd.</w:t>
      </w:r>
    </w:p>
    <w:p>
      <w:pPr>
        <w:pStyle w:val="BodyText"/>
      </w:pPr>
      <w:r>
        <w:t xml:space="preserve">Lead Mechatronics Engineer</w:t>
      </w:r>
    </w:p>
    <w:p>
      <w:pPr>
        <w:pStyle w:val="BodyText"/>
      </w:pPr>
      <w:r>
        <w:rPr>
          <w:bCs/>
          <w:b/>
        </w:rPr>
        <w:t xml:space="preserve">Received By</w:t>
      </w:r>
    </w:p>
    <w:p>
      <w:pPr>
        <w:pStyle w:val="BodyText"/>
      </w:pPr>
      <w:r>
        <w:t xml:space="preserve">Al Rajhi Industrial Complex</w:t>
      </w:r>
    </w:p>
    <w:p>
      <w:pPr>
        <w:pStyle w:val="BodyText"/>
      </w:pPr>
      <w:r>
        <w:t xml:space="preserve">Date of Receipt: _______________</w:t>
      </w:r>
    </w:p>
    <w:p>
      <w:pPr>
        <w:pStyle w:val="BodyText"/>
      </w:pPr>
      <w:r>
        <w:t xml:space="preserve">This invoice has been generated electronically and is valid without a physical signature. For verification purposes, please contact our billing department at billing@advancedmechatronics.sa or call +966 12 555 7890.</w:t>
      </w:r>
    </w:p>
    <w:p>
      <w:pPr>
        <w:pStyle w:val="BodyText"/>
      </w:pPr>
      <w:r>
        <w:t xml:space="preserve">© 2024 Advanced Mechatronics Solutions Ltd. All rights reserved. Registered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