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Melbourne,</w:t>
      </w:r>
      <w:r>
        <w:t xml:space="preserve"> </w:t>
      </w:r>
      <w:r>
        <w:t xml:space="preserve">Australia</w:t>
      </w:r>
    </w:p>
    <w:bookmarkStart w:id="20" w:name="dr.-elena-vance-phd"/>
    <w:p>
      <w:pPr>
        <w:pStyle w:val="Heading1"/>
      </w:pPr>
      <w:r>
        <w:t xml:space="preserve">Dr. Elena Vance, PhD</w:t>
      </w:r>
    </w:p>
    <w:p>
      <w:pPr>
        <w:pStyle w:val="FirstParagraph"/>
      </w:pPr>
      <w:r>
        <w:t xml:space="preserve">Senior Medical Researcher &amp; Consultant</w:t>
      </w:r>
    </w:p>
    <w:p>
      <w:pPr>
        <w:pStyle w:val="BodyText"/>
      </w:pPr>
      <w:r>
        <w:t xml:space="preserve">Level 12, 123 Collins Street</w:t>
      </w:r>
    </w:p>
    <w:p>
      <w:pPr>
        <w:pStyle w:val="BodyText"/>
      </w:pPr>
      <w:r>
        <w:t xml:space="preserve">Melbourne, VIC 3000</w:t>
      </w:r>
    </w:p>
    <w:p>
      <w:pPr>
        <w:pStyle w:val="BodyText"/>
      </w:pPr>
      <w:r>
        <w:t xml:space="preserve">Australia</w:t>
      </w:r>
    </w:p>
    <w:p>
      <w:pPr>
        <w:pStyle w:val="BodyText"/>
      </w:pPr>
      <w:r>
        <w:t xml:space="preserve">ABN: 45 123 456 789</w:t>
      </w:r>
    </w:p>
    <w:p>
      <w:pPr>
        <w:pStyle w:val="BodyText"/>
      </w:pPr>
      <w:r>
        <w:t xml:space="preserve">Email: e.vance@melbournemedresearch.com.au</w:t>
      </w:r>
    </w:p>
    <w:bookmarkEnd w:id="20"/>
    <w:bookmarkStart w:id="21" w:name="invoice"/>
    <w:p>
      <w:pPr>
        <w:pStyle w:val="Heading2"/>
      </w:pPr>
      <w:r>
        <w:t xml:space="preserve">INVOICE</w:t>
      </w:r>
    </w:p>
    <w:p>
      <w:pPr>
        <w:pStyle w:val="FirstParagraph"/>
      </w:pPr>
      <w:r>
        <w:t xml:space="preserve">Invoice #:</w:t>
      </w:r>
      <w:r>
        <w:t xml:space="preserve"> </w:t>
      </w:r>
      <w:r>
        <w:t xml:space="preserve">INV-2023-10-042</w:t>
      </w:r>
    </w:p>
    <w:p>
      <w:pPr>
        <w:pStyle w:val="BodyText"/>
      </w:pPr>
      <w:r>
        <w:t xml:space="preserve">Date:</w:t>
      </w:r>
      <w:r>
        <w:t xml:space="preserve"> </w:t>
      </w:r>
      <w:r>
        <w:t xml:space="preserve">24 October 2023</w:t>
      </w:r>
    </w:p>
    <w:p>
      <w:pPr>
        <w:pStyle w:val="BodyText"/>
      </w:pPr>
      <w:r>
        <w:t xml:space="preserve">Due Date:</w:t>
      </w:r>
      <w:r>
        <w:t xml:space="preserve"> </w:t>
      </w:r>
      <w:r>
        <w:t xml:space="preserve">24 November 2023</w:t>
      </w:r>
    </w:p>
    <w:bookmarkEnd w:id="21"/>
    <w:bookmarkStart w:id="22" w:name="bill-to"/>
    <w:p>
      <w:pPr>
        <w:pStyle w:val="Heading3"/>
      </w:pPr>
      <w:r>
        <w:t xml:space="preserve">Bill To:</w:t>
      </w:r>
    </w:p>
    <w:p>
      <w:pPr>
        <w:pStyle w:val="FirstParagraph"/>
      </w:pPr>
      <w:r>
        <w:rPr>
          <w:bCs/>
          <w:b/>
        </w:rPr>
        <w:t xml:space="preserve">Director of Clinical Trials</w:t>
      </w:r>
    </w:p>
    <w:p>
      <w:pPr>
        <w:pStyle w:val="BodyText"/>
      </w:pPr>
      <w:r>
        <w:t xml:space="preserve">Melbourne Health Research Institute</w:t>
      </w:r>
    </w:p>
    <w:p>
      <w:pPr>
        <w:pStyle w:val="BodyText"/>
      </w:pPr>
      <w:r>
        <w:t xml:space="preserve">456 Swanston Street</w:t>
      </w:r>
    </w:p>
    <w:p>
      <w:pPr>
        <w:pStyle w:val="BodyText"/>
      </w:pPr>
      <w:r>
        <w:t xml:space="preserve">Carlton, VIC 3053</w:t>
      </w:r>
    </w:p>
    <w:p>
      <w:pPr>
        <w:pStyle w:val="BodyText"/>
      </w:pPr>
      <w:r>
        <w:t xml:space="preserve">Australia</w:t>
      </w:r>
    </w:p>
    <w:bookmarkEnd w:id="22"/>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rPr>
                <w:bCs/>
                <w:b/>
              </w:rPr>
              <w:t xml:space="preserve">Phase III Clinical Data Analysis</w:t>
            </w:r>
            <w:r>
              <w:br/>
            </w:r>
            <w:r>
              <w:t xml:space="preserve">Comprehensive statistical analysis of patient data collected during the Melbourne-based oncology trial. This includes data cleaning, outlier detection, and application of survival analysis models using R and SAS software.</w:t>
            </w:r>
          </w:p>
        </w:tc>
        <w:tc>
          <w:tcPr/>
          <w:p>
            <w:pPr>
              <w:pStyle w:val="Compact"/>
              <w:jc w:val="left"/>
            </w:pPr>
            <w:r>
              <w:t xml:space="preserve">40.0</w:t>
            </w:r>
          </w:p>
        </w:tc>
        <w:tc>
          <w:tcPr/>
          <w:p>
            <w:pPr>
              <w:pStyle w:val="Compact"/>
              <w:jc w:val="left"/>
            </w:pPr>
            <w:r>
              <w:t xml:space="preserve">250.00</w:t>
            </w:r>
          </w:p>
        </w:tc>
        <w:tc>
          <w:tcPr/>
          <w:p>
            <w:pPr>
              <w:pStyle w:val="Compact"/>
              <w:jc w:val="left"/>
            </w:pPr>
            <w:r>
              <w:t xml:space="preserve">10,000.00</w:t>
            </w:r>
          </w:p>
        </w:tc>
      </w:tr>
      <w:tr>
        <w:tc>
          <w:tcPr/>
          <w:p>
            <w:pPr>
              <w:pStyle w:val="Compact"/>
              <w:jc w:val="left"/>
            </w:pPr>
            <w:r>
              <w:rPr>
                <w:bCs/>
                <w:b/>
              </w:rPr>
              <w:t xml:space="preserve">Medical Literature Review</w:t>
            </w:r>
            <w:r>
              <w:br/>
            </w:r>
            <w:r>
              <w:t xml:space="preserve">Systematic review of current medical literature regarding immunotherapy protocols. This research supports the grant application for the upcoming fiscal year and ensures alignment with current Australian guidelines.</w:t>
            </w:r>
          </w:p>
        </w:tc>
        <w:tc>
          <w:tcPr/>
          <w:p>
            <w:pPr>
              <w:pStyle w:val="Compact"/>
              <w:jc w:val="left"/>
            </w:pPr>
            <w:r>
              <w:t xml:space="preserve">25.0</w:t>
            </w:r>
          </w:p>
        </w:tc>
        <w:tc>
          <w:tcPr/>
          <w:p>
            <w:pPr>
              <w:pStyle w:val="Compact"/>
              <w:jc w:val="left"/>
            </w:pPr>
            <w:r>
              <w:t xml:space="preserve">250.00</w:t>
            </w:r>
          </w:p>
        </w:tc>
        <w:tc>
          <w:tcPr/>
          <w:p>
            <w:pPr>
              <w:pStyle w:val="Compact"/>
              <w:jc w:val="left"/>
            </w:pPr>
            <w:r>
              <w:t xml:space="preserve">6,250.00</w:t>
            </w:r>
          </w:p>
        </w:tc>
      </w:tr>
      <w:tr>
        <w:tc>
          <w:tcPr/>
          <w:p>
            <w:pPr>
              <w:pStyle w:val="Compact"/>
              <w:jc w:val="left"/>
            </w:pPr>
            <w:r>
              <w:rPr>
                <w:bCs/>
                <w:b/>
              </w:rPr>
              <w:t xml:space="preserve">Research Protocol Development</w:t>
            </w:r>
            <w:r>
              <w:br/>
            </w:r>
            <w:r>
              <w:t xml:space="preserve">Drafting and refining the clinical trial protocol for the new cardiology study. This involves ensuring compliance with the National Health and Medical Research Council (NHMRC) guidelines and ethical standards.</w:t>
            </w:r>
          </w:p>
        </w:tc>
        <w:tc>
          <w:tcPr/>
          <w:p>
            <w:pPr>
              <w:pStyle w:val="Compact"/>
              <w:jc w:val="left"/>
            </w:pPr>
            <w:r>
              <w:t xml:space="preserve">15.0</w:t>
            </w:r>
          </w:p>
        </w:tc>
        <w:tc>
          <w:tcPr/>
          <w:p>
            <w:pPr>
              <w:pStyle w:val="Compact"/>
              <w:jc w:val="left"/>
            </w:pPr>
            <w:r>
              <w:t xml:space="preserve">250.00</w:t>
            </w:r>
          </w:p>
        </w:tc>
        <w:tc>
          <w:tcPr/>
          <w:p>
            <w:pPr>
              <w:pStyle w:val="Compact"/>
              <w:jc w:val="left"/>
            </w:pPr>
            <w:r>
              <w:t xml:space="preserve">3,750.00</w:t>
            </w:r>
          </w:p>
        </w:tc>
      </w:tr>
      <w:tr>
        <w:tc>
          <w:tcPr/>
          <w:p>
            <w:pPr>
              <w:pStyle w:val="Compact"/>
              <w:jc w:val="left"/>
            </w:pPr>
            <w:r>
              <w:rPr>
                <w:bCs/>
                <w:b/>
              </w:rPr>
              <w:t xml:space="preserve">Stakeholder Presentation Preparation</w:t>
            </w:r>
            <w:r>
              <w:br/>
            </w:r>
            <w:r>
              <w:t xml:space="preserve">Creation of visual aids and technical presentations for the quarterly review board meeting held in Melbourne. Includes summarizing complex medical data for non-technical stakeholders.</w:t>
            </w:r>
          </w:p>
        </w:tc>
        <w:tc>
          <w:tcPr/>
          <w:p>
            <w:pPr>
              <w:pStyle w:val="Compact"/>
              <w:jc w:val="left"/>
            </w:pPr>
            <w:r>
              <w:t xml:space="preserve">10.0</w:t>
            </w:r>
          </w:p>
        </w:tc>
        <w:tc>
          <w:tcPr/>
          <w:p>
            <w:pPr>
              <w:pStyle w:val="Compact"/>
              <w:jc w:val="left"/>
            </w:pPr>
            <w:r>
              <w:t xml:space="preserve">250.00</w:t>
            </w:r>
          </w:p>
        </w:tc>
        <w:tc>
          <w:tcPr/>
          <w:p>
            <w:pPr>
              <w:pStyle w:val="Compact"/>
              <w:jc w:val="left"/>
            </w:pPr>
            <w:r>
              <w:t xml:space="preserve">2,500.00</w:t>
            </w:r>
          </w:p>
        </w:tc>
      </w:tr>
    </w:tbl>
    <w:p>
      <w:pPr>
        <w:pStyle w:val="BodyText"/>
      </w:pPr>
      <w:r>
        <w:t xml:space="preserve">Subtotal:</w:t>
      </w:r>
      <w:r>
        <w:t xml:space="preserve"> </w:t>
      </w:r>
      <w:r>
        <w:t xml:space="preserve">$22,500.00</w:t>
      </w:r>
    </w:p>
    <w:p>
      <w:pPr>
        <w:pStyle w:val="BodyText"/>
      </w:pPr>
      <w:r>
        <w:t xml:space="preserve">GST (10%):</w:t>
      </w:r>
      <w:r>
        <w:t xml:space="preserve"> </w:t>
      </w:r>
      <w:r>
        <w:t xml:space="preserve">$2,250.00</w:t>
      </w:r>
    </w:p>
    <w:p>
      <w:pPr>
        <w:pStyle w:val="BodyText"/>
      </w:pPr>
      <w:r>
        <w:t xml:space="preserve">Total Due:</w:t>
      </w:r>
      <w:r>
        <w:t xml:space="preserve"> </w:t>
      </w:r>
      <w:r>
        <w:t xml:space="preserve">$24,750.00</w:t>
      </w:r>
    </w:p>
    <w:bookmarkStart w:id="23" w:name="payment-terms-bank-details"/>
    <w:p>
      <w:pPr>
        <w:pStyle w:val="Heading4"/>
      </w:pPr>
      <w:r>
        <w:t xml:space="preserve">Payment Terms &amp; Bank Details</w:t>
      </w:r>
    </w:p>
    <w:p>
      <w:pPr>
        <w:pStyle w:val="FirstParagraph"/>
      </w:pPr>
      <w:r>
        <w:t xml:space="preserve">Payment is due within 30 days of the invoice date. Please include the invoice number in your payment reference.</w:t>
      </w:r>
    </w:p>
    <w:p>
      <w:pPr>
        <w:pStyle w:val="BodyText"/>
      </w:pPr>
      <w:r>
        <w:rPr>
          <w:bCs/>
          <w:b/>
        </w:rPr>
        <w:t xml:space="preserve">Bank Name:</w:t>
      </w:r>
      <w:r>
        <w:t xml:space="preserve"> </w:t>
      </w:r>
      <w:r>
        <w:t xml:space="preserve">Commonwealth Bank of Australia</w:t>
      </w:r>
    </w:p>
    <w:p>
      <w:pPr>
        <w:pStyle w:val="BodyText"/>
      </w:pPr>
      <w:r>
        <w:rPr>
          <w:bCs/>
          <w:b/>
        </w:rPr>
        <w:t xml:space="preserve">Account Name:</w:t>
      </w:r>
      <w:r>
        <w:t xml:space="preserve"> </w:t>
      </w:r>
      <w:r>
        <w:t xml:space="preserve">Dr. Elena Vance Consulting</w:t>
      </w:r>
    </w:p>
    <w:p>
      <w:pPr>
        <w:pStyle w:val="BodyText"/>
      </w:pPr>
      <w:r>
        <w:rPr>
          <w:bCs/>
          <w:b/>
        </w:rPr>
        <w:t xml:space="preserve">BSB:</w:t>
      </w:r>
      <w:r>
        <w:t xml:space="preserve"> </w:t>
      </w:r>
      <w:r>
        <w:t xml:space="preserve">062-000</w:t>
      </w:r>
    </w:p>
    <w:p>
      <w:pPr>
        <w:pStyle w:val="BodyText"/>
      </w:pPr>
      <w:r>
        <w:rPr>
          <w:bCs/>
          <w:b/>
        </w:rPr>
        <w:t xml:space="preserve">Account Number:</w:t>
      </w:r>
      <w:r>
        <w:t xml:space="preserve"> </w:t>
      </w:r>
      <w:r>
        <w:t xml:space="preserve">12345678</w:t>
      </w:r>
    </w:p>
    <w:bookmarkEnd w:id="23"/>
    <w:bookmarkStart w:id="24" w:name="service-description-scope"/>
    <w:p>
      <w:pPr>
        <w:pStyle w:val="Heading4"/>
      </w:pPr>
      <w:r>
        <w:t xml:space="preserve">Service Description &amp; Scope</w:t>
      </w:r>
    </w:p>
    <w:p>
      <w:pPr>
        <w:pStyle w:val="FirstParagraph"/>
      </w:pPr>
      <w:r>
        <w:t xml:space="preserve">This Invoice represents the professional services rendered by a qualified Medical Researcher based in Australia Melbourne. The work detailed above reflects the rigorous standards required in the Australian healthcare and research sector. As a Medical Researcher, the primary objective was to ensure data integrity, ethical compliance, and scientific accuracy throughout the project lifecycle.</w:t>
      </w:r>
    </w:p>
    <w:p>
      <w:pPr>
        <w:pStyle w:val="BodyText"/>
      </w:pPr>
      <w:r>
        <w:t xml:space="preserve">The services provided were conducted in accordance with the regulatory frameworks established by the Therapeutic Goods Administration (TGA) and the National Health and Medical Research Council (NHMRC). The location of the work, Australia Melbourne, provided access to leading medical facilities and collaborative networks essential for the success of the clinical trials and research protocols outlined.</w:t>
      </w:r>
    </w:p>
    <w:p>
      <w:pPr>
        <w:pStyle w:val="BodyText"/>
      </w:pPr>
      <w:r>
        <w:t xml:space="preserve">The Medical Researcher role involved not only technical analysis but also strategic consultation to align research outcomes with broader public health goals in Victoria and across Australia. The data analysis performed utilized advanced statistical methodologies to interpret complex biological datasets, ensuring that the conclusions drawn are robust and reproducible.</w:t>
      </w:r>
    </w:p>
    <w:p>
      <w:pPr>
        <w:pStyle w:val="BodyText"/>
      </w:pPr>
      <w:r>
        <w:t xml:space="preserve">Furthermore, the literature review conducted was exhaustive, covering peer-reviewed journals and international databases to contextualize the findings within the global medical community while maintaining a focus on local applicability in Australia Melbourne. This ensures that the research contributes meaningfully to the advancement of medical science in the region.</w:t>
      </w:r>
    </w:p>
    <w:p>
      <w:pPr>
        <w:pStyle w:val="BodyText"/>
      </w:pPr>
      <w:r>
        <w:t xml:space="preserve">The protocol development phase required close attention to detail to navigate the intricate ethical approval processes. As a Medical Researcher, ensuring that patient safety and rights are paramount is a core responsibility. The protocols drafted herein reflect a deep understanding of these ethical imperatives and the legal requirements governing medical research in Australia.</w:t>
      </w:r>
    </w:p>
    <w:p>
      <w:pPr>
        <w:pStyle w:val="BodyText"/>
      </w:pPr>
      <w:r>
        <w:t xml:space="preserve">Finally, the stakeholder presentation preparation was designed to bridge the gap between complex scientific data and actionable business or policy decisions. Effective communication is a vital skill for any Medical Researcher, particularly when operating in a dynamic environment like Australia Melbourne, where collaboration between academia, government, and private industry is frequent.</w:t>
      </w:r>
    </w:p>
    <w:p>
      <w:pPr>
        <w:pStyle w:val="BodyText"/>
      </w:pPr>
      <w:r>
        <w:t xml:space="preserve">Should you have any questions regarding this Invoice or the services provided, please do not hesitate to contact the undersigned. We appreciate your business and look forward to continuing our collaboration in advancing medical research in Australia.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Medical Researcher Services - Melbourne, Australia</dc:title>
  <dc:creator/>
  <dc:language>en</dc:language>
  <cp:keywords/>
  <dcterms:created xsi:type="dcterms:W3CDTF">2026-10-10T01:59:03Z</dcterms:created>
  <dcterms:modified xsi:type="dcterms:W3CDTF">2026-10-10T01:59:03Z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