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Sydney,</w:t>
      </w:r>
      <w:r>
        <w:t xml:space="preserve"> </w:t>
      </w:r>
      <w:r>
        <w:t xml:space="preserve">Australia</w:t>
      </w:r>
    </w:p>
    <w:bookmarkStart w:id="20" w:name="dr.-elena-vance-phd"/>
    <w:p>
      <w:pPr>
        <w:pStyle w:val="Heading1"/>
      </w:pPr>
      <w:r>
        <w:t xml:space="preserve">Dr. Elena Vance, PhD</w:t>
      </w:r>
    </w:p>
    <w:p>
      <w:pPr>
        <w:pStyle w:val="FirstParagraph"/>
      </w:pPr>
      <w:r>
        <w:rPr>
          <w:bCs/>
          <w:b/>
        </w:rPr>
        <w:t xml:space="preserve">Senior Medical Researcher &amp; Consultant</w:t>
      </w:r>
    </w:p>
    <w:p>
      <w:pPr>
        <w:pStyle w:val="BodyText"/>
      </w:pPr>
      <w:r>
        <w:t xml:space="preserve">Level 12, 100 George Street</w:t>
      </w:r>
    </w:p>
    <w:p>
      <w:pPr>
        <w:pStyle w:val="BodyText"/>
      </w:pPr>
      <w:r>
        <w:t xml:space="preserve">Sydney, NSW 2000</w:t>
      </w:r>
    </w:p>
    <w:p>
      <w:pPr>
        <w:pStyle w:val="BodyText"/>
      </w:pPr>
      <w:r>
        <w:t xml:space="preserve">Australia</w:t>
      </w:r>
    </w:p>
    <w:p>
      <w:pPr>
        <w:pStyle w:val="BodyText"/>
      </w:pPr>
      <w:r>
        <w:t xml:space="preserve">ABN: 45 123 456 789</w:t>
      </w:r>
    </w:p>
    <w:p>
      <w:pPr>
        <w:pStyle w:val="BodyText"/>
      </w:pPr>
      <w:r>
        <w:t xml:space="preserve">Email: e.vance@sydneyresearchconsult.com.au</w:t>
      </w:r>
    </w:p>
    <w:p>
      <w:pPr>
        <w:pStyle w:val="BodyText"/>
      </w:pPr>
      <w:r>
        <w:t xml:space="preserve">Phone: +61 2 9876 5432</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Issued:</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Director of Clinical Operations</w:t>
      </w:r>
    </w:p>
    <w:p>
      <w:pPr>
        <w:pStyle w:val="BodyText"/>
      </w:pPr>
      <w:r>
        <w:t xml:space="preserve">Sydney Metro Health &amp; Research Institute</w:t>
      </w:r>
    </w:p>
    <w:p>
      <w:pPr>
        <w:pStyle w:val="BodyText"/>
      </w:pPr>
      <w:r>
        <w:t xml:space="preserve">Locked Bag 4001</w:t>
      </w:r>
    </w:p>
    <w:p>
      <w:pPr>
        <w:pStyle w:val="BodyText"/>
      </w:pPr>
      <w:r>
        <w:t xml:space="preserve">Missenden Road, Camperdown NSW 2050</w:t>
      </w:r>
    </w:p>
    <w:p>
      <w:pPr>
        <w:pStyle w:val="BodyText"/>
      </w:pPr>
      <w:r>
        <w:t xml:space="preserve">Australia</w:t>
      </w:r>
    </w:p>
    <w:p>
      <w:pPr>
        <w:pStyle w:val="BodyText"/>
      </w:pPr>
      <w:r>
        <w:t xml:space="preserve">ACN: 123 456 789</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Medical Research Services</w:t>
            </w:r>
          </w:p>
        </w:tc>
        <w:tc>
          <w:tcPr/>
          <w:p>
            <w:pPr>
              <w:pStyle w:val="Compact"/>
              <w:jc w:val="left"/>
            </w:pPr>
            <w:r>
              <w:t xml:space="preserve">Hours / 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rPr>
                <w:bCs/>
                <w:b/>
              </w:rPr>
              <w:t xml:space="preserve">Phase II Clinical Trial Data Analysis</w:t>
            </w:r>
            <w:r>
              <w:br/>
            </w:r>
            <w:r>
              <w:t xml:space="preserve">Comprehensive statistical analysis of patient cohort data regarding novel oncology treatments. This service includes the application of advanced biostatistical models to determine efficacy and safety profiles, ensuring compliance with the National Health and Medical Research Council (NHMRC) guidelines.</w:t>
            </w:r>
          </w:p>
        </w:tc>
        <w:tc>
          <w:tcPr/>
          <w:p>
            <w:pPr>
              <w:pStyle w:val="Compact"/>
              <w:jc w:val="left"/>
            </w:pPr>
            <w:r>
              <w:t xml:space="preserve">40.0</w:t>
            </w:r>
          </w:p>
        </w:tc>
        <w:tc>
          <w:tcPr/>
          <w:p>
            <w:pPr>
              <w:pStyle w:val="Compact"/>
              <w:jc w:val="left"/>
            </w:pPr>
            <w:r>
              <w:t xml:space="preserve">$250.00</w:t>
            </w:r>
          </w:p>
        </w:tc>
        <w:tc>
          <w:tcPr/>
          <w:p>
            <w:pPr>
              <w:pStyle w:val="Compact"/>
              <w:jc w:val="left"/>
            </w:pPr>
            <w:r>
              <w:t xml:space="preserve">$10,000.00</w:t>
            </w:r>
          </w:p>
        </w:tc>
      </w:tr>
      <w:tr>
        <w:tc>
          <w:tcPr/>
          <w:p>
            <w:pPr>
              <w:pStyle w:val="Compact"/>
              <w:jc w:val="left"/>
            </w:pPr>
            <w:r>
              <w:t xml:space="preserve">2</w:t>
            </w:r>
          </w:p>
        </w:tc>
        <w:tc>
          <w:tcPr/>
          <w:p>
            <w:pPr>
              <w:pStyle w:val="Compact"/>
              <w:jc w:val="left"/>
            </w:pPr>
            <w:r>
              <w:rPr>
                <w:bCs/>
                <w:b/>
              </w:rPr>
              <w:t xml:space="preserve">Regulatory Compliance Audit (TGA Standards)</w:t>
            </w:r>
            <w:r>
              <w:br/>
            </w:r>
            <w:r>
              <w:t xml:space="preserve">Detailed review of current research protocols to ensure alignment with the Therapeutic Goods Administration (TGA) regulations specific to Sydney-based medical facilities. Includes documentation of Good Clinical Practice (GCP) adherence and risk assessment mitigation strategies.</w:t>
            </w:r>
          </w:p>
        </w:tc>
        <w:tc>
          <w:tcPr/>
          <w:p>
            <w:pPr>
              <w:pStyle w:val="Compact"/>
              <w:jc w:val="left"/>
            </w:pPr>
            <w:r>
              <w:t xml:space="preserve">15.0</w:t>
            </w:r>
          </w:p>
        </w:tc>
        <w:tc>
          <w:tcPr/>
          <w:p>
            <w:pPr>
              <w:pStyle w:val="Compact"/>
              <w:jc w:val="left"/>
            </w:pPr>
            <w:r>
              <w:t xml:space="preserve">$275.00</w:t>
            </w:r>
          </w:p>
        </w:tc>
        <w:tc>
          <w:tcPr/>
          <w:p>
            <w:pPr>
              <w:pStyle w:val="Compact"/>
              <w:jc w:val="left"/>
            </w:pPr>
            <w:r>
              <w:t xml:space="preserve">$4,125.00</w:t>
            </w:r>
          </w:p>
        </w:tc>
      </w:tr>
      <w:tr>
        <w:tc>
          <w:tcPr/>
          <w:p>
            <w:pPr>
              <w:pStyle w:val="Compact"/>
              <w:jc w:val="left"/>
            </w:pPr>
            <w:r>
              <w:t xml:space="preserve">3</w:t>
            </w:r>
          </w:p>
        </w:tc>
        <w:tc>
          <w:tcPr/>
          <w:p>
            <w:pPr>
              <w:pStyle w:val="Compact"/>
              <w:jc w:val="left"/>
            </w:pPr>
            <w:r>
              <w:rPr>
                <w:bCs/>
                <w:b/>
              </w:rPr>
              <w:t xml:space="preserve">Manuscript Preparation for Peer Review</w:t>
            </w:r>
            <w:r>
              <w:br/>
            </w:r>
            <w:r>
              <w:t xml:space="preserve">Drafting and editing of a high-impact research paper detailing findings from the Sydney cohort study. This includes literature review integration, figure generation, and formatting for submission to a Q1 medical journal.</w:t>
            </w:r>
          </w:p>
        </w:tc>
        <w:tc>
          <w:tcPr/>
          <w:p>
            <w:pPr>
              <w:pStyle w:val="Compact"/>
              <w:jc w:val="left"/>
            </w:pPr>
            <w:r>
              <w:t xml:space="preserve">25.0</w:t>
            </w:r>
          </w:p>
        </w:tc>
        <w:tc>
          <w:tcPr/>
          <w:p>
            <w:pPr>
              <w:pStyle w:val="Compact"/>
              <w:jc w:val="left"/>
            </w:pPr>
            <w:r>
              <w:t xml:space="preserve">$220.00</w:t>
            </w:r>
          </w:p>
        </w:tc>
        <w:tc>
          <w:tcPr/>
          <w:p>
            <w:pPr>
              <w:pStyle w:val="Compact"/>
              <w:jc w:val="left"/>
            </w:pPr>
            <w:r>
              <w:t xml:space="preserve">$5,500.00</w:t>
            </w:r>
          </w:p>
        </w:tc>
      </w:tr>
      <w:tr>
        <w:tc>
          <w:tcPr/>
          <w:p>
            <w:pPr>
              <w:pStyle w:val="Compact"/>
              <w:jc w:val="left"/>
            </w:pPr>
            <w:r>
              <w:t xml:space="preserve">4</w:t>
            </w:r>
          </w:p>
        </w:tc>
        <w:tc>
          <w:tcPr/>
          <w:p>
            <w:pPr>
              <w:pStyle w:val="Compact"/>
              <w:jc w:val="left"/>
            </w:pPr>
            <w:r>
              <w:rPr>
                <w:bCs/>
                <w:b/>
              </w:rPr>
              <w:t xml:space="preserve">Grant Proposal Development</w:t>
            </w:r>
            <w:r>
              <w:br/>
            </w:r>
            <w:r>
              <w:t xml:space="preserve">Strategic writing and financial modeling for a competitive research grant application aimed at securing funding for future genomic research initiatives in New South Wales.</w:t>
            </w:r>
          </w:p>
        </w:tc>
        <w:tc>
          <w:tcPr/>
          <w:p>
            <w:pPr>
              <w:pStyle w:val="Compact"/>
              <w:jc w:val="left"/>
            </w:pPr>
            <w:r>
              <w:t xml:space="preserve">20.0</w:t>
            </w:r>
          </w:p>
        </w:tc>
        <w:tc>
          <w:tcPr/>
          <w:p>
            <w:pPr>
              <w:pStyle w:val="Compact"/>
              <w:jc w:val="left"/>
            </w:pPr>
            <w:r>
              <w:t xml:space="preserve">$250.00</w:t>
            </w:r>
          </w:p>
        </w:tc>
        <w:tc>
          <w:tcPr/>
          <w:p>
            <w:pPr>
              <w:pStyle w:val="Compact"/>
              <w:jc w:val="left"/>
            </w:pPr>
            <w:r>
              <w:t xml:space="preserve">$5,000.00</w:t>
            </w:r>
          </w:p>
        </w:tc>
      </w:tr>
      <w:tr>
        <w:tc>
          <w:tcPr/>
          <w:p>
            <w:pPr>
              <w:pStyle w:val="Compact"/>
              <w:jc w:val="left"/>
            </w:pPr>
            <w:r>
              <w:t xml:space="preserve">5</w:t>
            </w:r>
          </w:p>
        </w:tc>
        <w:tc>
          <w:tcPr/>
          <w:p>
            <w:pPr>
              <w:pStyle w:val="Compact"/>
              <w:jc w:val="left"/>
            </w:pPr>
            <w:r>
              <w:rPr>
                <w:bCs/>
                <w:b/>
              </w:rPr>
              <w:t xml:space="preserve">Research Ethics Board (REB) Consultation</w:t>
            </w:r>
            <w:r>
              <w:br/>
            </w:r>
            <w:r>
              <w:t xml:space="preserve">Advisory services regarding ethical considerations for human subject research. Preparation of necessary documentation for submission to the local Human Research Ethics Committee (HREC) in Sydney.</w:t>
            </w:r>
          </w:p>
        </w:tc>
        <w:tc>
          <w:tcPr/>
          <w:p>
            <w:pPr>
              <w:pStyle w:val="Compact"/>
              <w:jc w:val="left"/>
            </w:pPr>
            <w:r>
              <w:t xml:space="preserve">10.0</w:t>
            </w:r>
          </w:p>
        </w:tc>
        <w:tc>
          <w:tcPr/>
          <w:p>
            <w:pPr>
              <w:pStyle w:val="Compact"/>
              <w:jc w:val="left"/>
            </w:pPr>
            <w:r>
              <w:t xml:space="preserve">$260.00</w:t>
            </w:r>
          </w:p>
        </w:tc>
        <w:tc>
          <w:tcPr/>
          <w:p>
            <w:pPr>
              <w:pStyle w:val="Compact"/>
              <w:jc w:val="left"/>
            </w:pPr>
            <w:r>
              <w:t xml:space="preserve">$2,600.00</w:t>
            </w:r>
          </w:p>
        </w:tc>
      </w:tr>
    </w:tbl>
    <w:p>
      <w:pPr>
        <w:pStyle w:val="BodyText"/>
      </w:pPr>
      <w:r>
        <w:t xml:space="preserve">Subtotal:</w:t>
      </w:r>
      <w:r>
        <w:t xml:space="preserve"> </w:t>
      </w:r>
      <w:r>
        <w:t xml:space="preserve">$27,225.00</w:t>
      </w:r>
    </w:p>
    <w:p>
      <w:pPr>
        <w:pStyle w:val="BodyText"/>
      </w:pPr>
      <w:r>
        <w:t xml:space="preserve">GST (10%):</w:t>
      </w:r>
      <w:r>
        <w:t xml:space="preserve"> </w:t>
      </w:r>
      <w:r>
        <w:t xml:space="preserve">$2,722.50</w:t>
      </w:r>
    </w:p>
    <w:p>
      <w:pPr>
        <w:pStyle w:val="BodyText"/>
      </w:pPr>
      <w:r>
        <w:t xml:space="preserve">TOTAL DUE (AUD):</w:t>
      </w:r>
      <w:r>
        <w:t xml:space="preserve"> </w:t>
      </w:r>
      <w:r>
        <w:t xml:space="preserve">$29,947.50</w:t>
      </w:r>
    </w:p>
    <w:bookmarkStart w:id="23" w:name="payment-instructions-notes"/>
    <w:p>
      <w:pPr>
        <w:pStyle w:val="Heading4"/>
      </w:pPr>
      <w:r>
        <w:t xml:space="preserve">Payment Instructions &amp; Notes</w:t>
      </w:r>
    </w:p>
    <w:p>
      <w:pPr>
        <w:pStyle w:val="FirstParagraph"/>
      </w:pPr>
      <w:r>
        <w:rPr>
          <w:bCs/>
          <w:b/>
        </w:rPr>
        <w:t xml:space="preserve">Bank Transfer Details:</w:t>
      </w:r>
    </w:p>
    <w:p>
      <w:pPr>
        <w:pStyle w:val="BodyText"/>
      </w:pPr>
      <w:r>
        <w:t xml:space="preserve">Bank Name: Commonwealth Bank of Australia (Sydney Branch)</w:t>
      </w:r>
    </w:p>
    <w:p>
      <w:pPr>
        <w:pStyle w:val="BodyText"/>
      </w:pPr>
      <w:r>
        <w:t xml:space="preserve">Account Name: Dr. Elena Vance Research Services</w:t>
      </w:r>
    </w:p>
    <w:p>
      <w:pPr>
        <w:pStyle w:val="BodyText"/>
      </w:pPr>
      <w:r>
        <w:t xml:space="preserve">BSB: 062-000</w:t>
      </w:r>
    </w:p>
    <w:p>
      <w:pPr>
        <w:pStyle w:val="BodyText"/>
      </w:pPr>
      <w:r>
        <w:t xml:space="preserve">Account Number: 1234 5678</w:t>
      </w:r>
    </w:p>
    <w:p>
      <w:pPr>
        <w:pStyle w:val="BodyText"/>
      </w:pPr>
      <w:r>
        <w:t xml:space="preserve">Reference: INV-2023-10-042</w:t>
      </w:r>
    </w:p>
    <w:p>
      <w:pPr>
        <w:pStyle w:val="BodyText"/>
      </w:pPr>
      <w:r>
        <w:br/>
      </w:r>
    </w:p>
    <w:p>
      <w:pPr>
        <w:pStyle w:val="BodyText"/>
      </w:pPr>
      <w:r>
        <w:rPr>
          <w:bCs/>
          <w:b/>
        </w:rPr>
        <w:t xml:space="preserve">Terms and Conditions:</w:t>
      </w:r>
    </w:p>
    <w:p>
      <w:pPr>
        <w:pStyle w:val="BodyText"/>
      </w:pPr>
      <w:r>
        <w:t xml:space="preserve">1. Payment is due within 30 days of the invoice date. Late payments may incur interest charges at the rate of 1.5% per month or the maximum rate permitted by law in New South Wales, whichever is lower.</w:t>
      </w:r>
    </w:p>
    <w:p>
      <w:pPr>
        <w:pStyle w:val="BodyText"/>
      </w:pPr>
      <w:r>
        <w:t xml:space="preserve">2. All services provided by this Medical Researcher are subject to the Privacy Act 1988 (Cth) and the Australian Privacy Principles (APPs). Patient data confidentiality is strictly maintained.</w:t>
      </w:r>
    </w:p>
    <w:p>
      <w:pPr>
        <w:pStyle w:val="BodyText"/>
      </w:pPr>
      <w:r>
        <w:t xml:space="preserve">3. This Invoice is issued in accordance with the Australian Taxation Office (ATO) requirements for tax invoices.</w:t>
      </w:r>
    </w:p>
    <w:p>
      <w:pPr>
        <w:pStyle w:val="BodyText"/>
      </w:pPr>
      <w:r>
        <w:t xml:space="preserve">4. Please quote the Invoice Number on all payments to ensure correct allocation of funds.</w:t>
      </w:r>
    </w:p>
    <w:bookmarkEnd w:id="23"/>
    <w:p>
      <w:pPr>
        <w:pStyle w:val="BodyText"/>
      </w:pPr>
      <w:r>
        <w:rPr>
          <w:bCs/>
          <w:b/>
        </w:rPr>
        <w:t xml:space="preserve">Authorized By (Provider):</w:t>
      </w:r>
      <w:r>
        <w:br/>
      </w:r>
      <w:r>
        <w:br/>
      </w:r>
      <w:r>
        <w:t xml:space="preserve">Dr. Elena Vance, PhD</w:t>
      </w:r>
      <w:r>
        <w:br/>
      </w:r>
      <w:r>
        <w:t xml:space="preserve">Medical Researcher</w:t>
      </w:r>
    </w:p>
    <w:p>
      <w:pPr>
        <w:pStyle w:val="BodyText"/>
      </w:pPr>
      <w:r>
        <w:rPr>
          <w:bCs/>
          <w:b/>
        </w:rPr>
        <w:t xml:space="preserve">Received By (Client):</w:t>
      </w:r>
      <w:r>
        <w:br/>
      </w:r>
      <w:r>
        <w:br/>
      </w:r>
      <w:r>
        <w:t xml:space="preserve">__________________________</w:t>
      </w:r>
      <w:r>
        <w:br/>
      </w:r>
      <w:r>
        <w:t xml:space="preserve">Date: ____________________</w:t>
      </w:r>
    </w:p>
    <w:p>
      <w:pPr>
        <w:pStyle w:val="BodyText"/>
      </w:pPr>
      <w:r>
        <w:t xml:space="preserve">Thank you for your business. We appreciate your commitment to advancing medical science in Australia.</w:t>
      </w:r>
    </w:p>
    <w:p>
      <w:pPr>
        <w:pStyle w:val="BodyText"/>
      </w:pPr>
      <w:r>
        <w:t xml:space="preserve">This document is a valid tax invoice for GST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Medical Researcher Services - Sydney, Australia</dc:title>
  <dc:creator/>
  <dc:language>en</dc:language>
  <cp:keywords/>
  <dcterms:created xsi:type="dcterms:W3CDTF">2026-10-10T04:47:40Z</dcterms:created>
  <dcterms:modified xsi:type="dcterms:W3CDTF">2026-10-10T04:47:40Z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