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Dhaka,</w:t>
      </w:r>
      <w:r>
        <w:t xml:space="preserve"> </w:t>
      </w:r>
      <w:r>
        <w:t xml:space="preserve">Bangladesh</w:t>
      </w:r>
    </w:p>
    <w:bookmarkStart w:id="20" w:name="apex-medical-research-institute"/>
    <w:p>
      <w:pPr>
        <w:pStyle w:val="Heading1"/>
      </w:pPr>
      <w:r>
        <w:t xml:space="preserve">Apex Medical Research Institute</w:t>
      </w:r>
    </w:p>
    <w:p>
      <w:pPr>
        <w:pStyle w:val="FirstParagraph"/>
      </w:pPr>
      <w:r>
        <w:rPr>
          <w:bCs/>
          <w:b/>
        </w:rPr>
        <w:t xml:space="preserve">Lead Medical Researcher:</w:t>
      </w:r>
      <w:r>
        <w:t xml:space="preserve"> </w:t>
      </w:r>
      <w:r>
        <w:t xml:space="preserve">Dr. Farhana Rahman, PhD</w:t>
      </w:r>
    </w:p>
    <w:p>
      <w:pPr>
        <w:pStyle w:val="BodyText"/>
      </w:pPr>
      <w:r>
        <w:t xml:space="preserve">House 42, Road 11, Banani</w:t>
      </w:r>
    </w:p>
    <w:p>
      <w:pPr>
        <w:pStyle w:val="BodyText"/>
      </w:pPr>
      <w:r>
        <w:t xml:space="preserve">Dhaka 1213, Bangladesh</w:t>
      </w:r>
    </w:p>
    <w:p>
      <w:pPr>
        <w:pStyle w:val="BodyText"/>
      </w:pPr>
      <w:r>
        <w:t xml:space="preserve">Email: billing@apexmedicalresearch.bd</w:t>
      </w:r>
    </w:p>
    <w:p>
      <w:pPr>
        <w:pStyle w:val="BodyText"/>
      </w:pPr>
      <w:r>
        <w:t xml:space="preserve">Phone: +880 2 888 9999</w:t>
      </w:r>
    </w:p>
    <w:p>
      <w:pPr>
        <w:pStyle w:val="BodyText"/>
      </w:pPr>
      <w:r>
        <w:t xml:space="preserve">VAT Registration: 189999999999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AMR-2023-10-045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Clinical Trial Phase II - Dhaka Metro</w:t>
      </w:r>
    </w:p>
    <w:bookmarkEnd w:id="21"/>
    <w:bookmarkStart w:id="22" w:name="bill-to"/>
    <w:p>
      <w:pPr>
        <w:pStyle w:val="Heading3"/>
      </w:pPr>
      <w:r>
        <w:t xml:space="preserve">Bill To:</w:t>
      </w:r>
    </w:p>
    <w:p>
      <w:pPr>
        <w:pStyle w:val="FirstParagraph"/>
      </w:pPr>
      <w:r>
        <w:rPr>
          <w:bCs/>
          <w:b/>
        </w:rPr>
        <w:t xml:space="preserve">Global Health Solutions Ltd.</w:t>
      </w:r>
    </w:p>
    <w:p>
      <w:pPr>
        <w:pStyle w:val="BodyText"/>
      </w:pPr>
      <w:r>
        <w:t xml:space="preserve">Attn: Procurement Department</w:t>
      </w:r>
    </w:p>
    <w:p>
      <w:pPr>
        <w:pStyle w:val="BodyText"/>
      </w:pPr>
      <w:r>
        <w:t xml:space="preserve">Level 12, Bashundhara R/A, Block A</w:t>
      </w:r>
    </w:p>
    <w:p>
      <w:pPr>
        <w:pStyle w:val="BodyText"/>
      </w:pPr>
      <w:r>
        <w:t xml:space="preserve">Dhaka 1229, Bangladesh</w:t>
      </w:r>
    </w:p>
    <w:p>
      <w:pPr>
        <w:pStyle w:val="BodyText"/>
      </w:pPr>
      <w:r>
        <w:t xml:space="preserve">Contact: Mr. Kamal Hossain</w:t>
      </w:r>
    </w:p>
    <w:bookmarkEnd w:id="22"/>
    <w:p>
      <w:pPr>
        <w:pStyle w:val="BodyText"/>
      </w:pPr>
      <w:r>
        <w:t xml:space="preserve">This invoice represents the professional fees for the services rendered by the Lead Medical Researcher and the associated research team based in Dhaka, Bangladesh. The work covers the period from September 1, 2023, to October 20, 2023, focusing on epidemiological data collection, clinical analysis, and regulatory compliance within the Dhaka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rPr>
                <w:bCs/>
                <w:b/>
              </w:rPr>
              <w:t xml:space="preserve">Lead Medical Researcher Consultation &amp; Strategy</w:t>
            </w:r>
            <w:r>
              <w:br/>
            </w:r>
            <w:r>
              <w:t xml:space="preserve">Strategic planning for the clinical trial protocol. The Medical Researcher provided expert oversight on study design, ensuring alignment with international medical standards and local regulations in Bangladesh. Includes 10 hours of high-level consultation.</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Field Data Collection in Dhaka</w:t>
            </w:r>
            <w:r>
              <w:br/>
            </w:r>
            <w:r>
              <w:t xml:space="preserve">Supervision of data collection teams across various hospitals in Dhaka. The Medical Researcher coordinated with local healthcare providers to ensure accurate patient data entry and sample collection.</w:t>
            </w:r>
          </w:p>
        </w:tc>
        <w:tc>
          <w:tcPr/>
          <w:p>
            <w:pPr>
              <w:pStyle w:val="Compact"/>
              <w:jc w:val="left"/>
            </w:pPr>
            <w:r>
              <w:t xml:space="preserve">40</w:t>
            </w:r>
          </w:p>
        </w:tc>
        <w:tc>
          <w:tcPr/>
          <w:p>
            <w:pPr>
              <w:pStyle w:val="Compact"/>
              <w:jc w:val="left"/>
            </w:pPr>
            <w:r>
              <w:t xml:space="preserve">8,000.00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Statistical Analysis &amp; Reporting</w:t>
            </w:r>
            <w:r>
              <w:br/>
            </w:r>
            <w:r>
              <w:t xml:space="preserve">Comprehensive analysis of the collected medical data. The Medical Researcher utilized advanced statistical software to interpret results, identifying key trends relevant to the public health context of Bangladesh.</w:t>
            </w:r>
          </w:p>
        </w:tc>
        <w:tc>
          <w:tcPr/>
          <w:p>
            <w:pPr>
              <w:pStyle w:val="Compact"/>
              <w:jc w:val="left"/>
            </w:pPr>
            <w:r>
              <w:t xml:space="preserve">25</w:t>
            </w:r>
          </w:p>
        </w:tc>
        <w:tc>
          <w:tcPr/>
          <w:p>
            <w:pPr>
              <w:pStyle w:val="Compact"/>
              <w:jc w:val="left"/>
            </w:pPr>
            <w:r>
              <w:t xml:space="preserve">12,000.00</w:t>
            </w:r>
          </w:p>
        </w:tc>
        <w:tc>
          <w:tcPr/>
          <w:p>
            <w:pPr>
              <w:pStyle w:val="Compact"/>
              <w:jc w:val="left"/>
            </w:pPr>
            <w:r>
              <w:t xml:space="preserve">300,000.00</w:t>
            </w:r>
          </w:p>
        </w:tc>
      </w:tr>
      <w:tr>
        <w:tc>
          <w:tcPr/>
          <w:p>
            <w:pPr>
              <w:pStyle w:val="Compact"/>
              <w:jc w:val="left"/>
            </w:pPr>
            <w:r>
              <w:t xml:space="preserve">4</w:t>
            </w:r>
          </w:p>
        </w:tc>
        <w:tc>
          <w:tcPr/>
          <w:p>
            <w:pPr>
              <w:pStyle w:val="Compact"/>
              <w:jc w:val="left"/>
            </w:pPr>
            <w:r>
              <w:rPr>
                <w:bCs/>
                <w:b/>
              </w:rPr>
              <w:t xml:space="preserve">Regulatory Compliance &amp; Ethics Review</w:t>
            </w:r>
            <w:r>
              <w:br/>
            </w:r>
            <w:r>
              <w:t xml:space="preserve">Preparation of documentation for the Bangladesh Medical Research Council (BMRC). Ensuring all research activities adhered to the ethical guidelines mandated for medical research in Dhaka.</w:t>
            </w:r>
          </w:p>
        </w:tc>
        <w:tc>
          <w:tcPr/>
          <w:p>
            <w:pPr>
              <w:pStyle w:val="Compact"/>
              <w:jc w:val="left"/>
            </w:pPr>
            <w:r>
              <w:t xml:space="preserve">15</w:t>
            </w:r>
          </w:p>
        </w:tc>
        <w:tc>
          <w:tcPr/>
          <w:p>
            <w:pPr>
              <w:pStyle w:val="Compact"/>
              <w:jc w:val="left"/>
            </w:pPr>
            <w:r>
              <w:t xml:space="preserve">10,000.00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Final Technical Report Generation</w:t>
            </w:r>
            <w:r>
              <w:br/>
            </w:r>
            <w:r>
              <w:t xml:space="preserve">Drafting the final comprehensive report detailing the findings of the study. This document serves as the primary deliverable for the client, authored by the Lead Medical Researcher.</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bl>
    <w:p>
      <w:pPr>
        <w:pStyle w:val="BodyText"/>
      </w:pPr>
      <w:r>
        <w:t xml:space="preserve">Subtotal:</w:t>
      </w:r>
      <w:r>
        <w:t xml:space="preserve"> </w:t>
      </w:r>
      <w:r>
        <w:t xml:space="preserve">1,020,000.00 BDT</w:t>
      </w:r>
    </w:p>
    <w:p>
      <w:pPr>
        <w:pStyle w:val="BodyText"/>
      </w:pPr>
      <w:r>
        <w:t xml:space="preserve">VAT (5%):</w:t>
      </w:r>
      <w:r>
        <w:t xml:space="preserve"> </w:t>
      </w:r>
      <w:r>
        <w:t xml:space="preserve">51,000.00 BDT</w:t>
      </w:r>
    </w:p>
    <w:p>
      <w:pPr>
        <w:pStyle w:val="BodyText"/>
      </w:pPr>
      <w:r>
        <w:t xml:space="preserve">Service Tax (Included):</w:t>
      </w:r>
      <w:r>
        <w:t xml:space="preserve"> </w:t>
      </w:r>
      <w:r>
        <w:t xml:space="preserve">0.00 BDT</w:t>
      </w:r>
    </w:p>
    <w:p>
      <w:pPr>
        <w:pStyle w:val="BodyText"/>
      </w:pPr>
      <w:r>
        <w:t xml:space="preserve">TOTAL DUE:</w:t>
      </w:r>
      <w:r>
        <w:t xml:space="preserve"> </w:t>
      </w:r>
      <w:r>
        <w:t xml:space="preserve">1,071,000.00 BDT</w:t>
      </w:r>
    </w:p>
    <w:p>
      <w:pPr>
        <w:pStyle w:val="BodyText"/>
      </w:pPr>
      <w:r>
        <w:t xml:space="preserve">(One Million Seventy-One Thousand Taka Only)</w:t>
      </w:r>
    </w:p>
    <w:bookmarkStart w:id="23" w:name="payment-terms-instructions"/>
    <w:p>
      <w:pPr>
        <w:pStyle w:val="Heading4"/>
      </w:pPr>
      <w:r>
        <w:t xml:space="preserve">Payment Terms &amp; Instructions</w:t>
      </w:r>
    </w:p>
    <w:p>
      <w:pPr>
        <w:pStyle w:val="FirstParagraph"/>
      </w:pPr>
      <w:r>
        <w:t xml:space="preserve">Payment is due within 30 days of the invoice date. Please make all payments in Bangladeshi Taka (BDT). Late payments may be subject to a penalty interest rate of 1.5% per month.</w:t>
      </w:r>
    </w:p>
    <w:p>
      <w:pPr>
        <w:pStyle w:val="BodyText"/>
      </w:pPr>
      <w:r>
        <w:rPr>
          <w:bCs/>
          <w:b/>
        </w:rPr>
        <w:t xml:space="preserve">Bank Transfer Details:</w:t>
      </w:r>
    </w:p>
    <w:p>
      <w:pPr>
        <w:pStyle w:val="BodyText"/>
      </w:pPr>
      <w:r>
        <w:rPr>
          <w:bCs/>
          <w:b/>
        </w:rPr>
        <w:t xml:space="preserve">Bank Name:</w:t>
      </w:r>
      <w:r>
        <w:t xml:space="preserve"> </w:t>
      </w:r>
      <w:r>
        <w:t xml:space="preserve">Dutch-Bangla Bank Ltd.</w:t>
      </w:r>
    </w:p>
    <w:p>
      <w:pPr>
        <w:pStyle w:val="BodyText"/>
      </w:pPr>
      <w:r>
        <w:rPr>
          <w:bCs/>
          <w:b/>
        </w:rPr>
        <w:t xml:space="preserve">Branch:</w:t>
      </w:r>
      <w:r>
        <w:t xml:space="preserve"> </w:t>
      </w:r>
      <w:r>
        <w:t xml:space="preserve">Banani Branch, Dhaka</w:t>
      </w:r>
    </w:p>
    <w:p>
      <w:pPr>
        <w:pStyle w:val="BodyText"/>
      </w:pPr>
      <w:r>
        <w:rPr>
          <w:bCs/>
          <w:b/>
        </w:rPr>
        <w:t xml:space="preserve">Account Name:</w:t>
      </w:r>
      <w:r>
        <w:t xml:space="preserve"> </w:t>
      </w:r>
      <w:r>
        <w:t xml:space="preserve">Apex Medical Research Institute</w:t>
      </w:r>
    </w:p>
    <w:p>
      <w:pPr>
        <w:pStyle w:val="BodyText"/>
      </w:pPr>
      <w:r>
        <w:rPr>
          <w:bCs/>
          <w:b/>
        </w:rPr>
        <w:t xml:space="preserve">Account Number:</w:t>
      </w:r>
      <w:r>
        <w:t xml:space="preserve"> </w:t>
      </w:r>
      <w:r>
        <w:t xml:space="preserve">0123456789012</w:t>
      </w:r>
    </w:p>
    <w:p>
      <w:pPr>
        <w:pStyle w:val="BodyText"/>
      </w:pPr>
      <w:r>
        <w:rPr>
          <w:bCs/>
          <w:b/>
        </w:rPr>
        <w:t xml:space="preserve">Routing Code:</w:t>
      </w:r>
      <w:r>
        <w:t xml:space="preserve"> </w:t>
      </w:r>
      <w:r>
        <w:t xml:space="preserve">DBBL0000042</w:t>
      </w:r>
    </w:p>
    <w:p>
      <w:pPr>
        <w:pStyle w:val="BodyText"/>
      </w:pPr>
      <w:r>
        <w:rPr>
          <w:bCs/>
          <w:b/>
        </w:rPr>
        <w:t xml:space="preserve">SWIFT Code:</w:t>
      </w:r>
      <w:r>
        <w:t xml:space="preserve"> </w:t>
      </w:r>
      <w:r>
        <w:t xml:space="preserve">DBBLBD2D</w:t>
      </w:r>
    </w:p>
    <w:bookmarkEnd w:id="23"/>
    <w:bookmarkStart w:id="24" w:name="terms-and-conditions"/>
    <w:p>
      <w:pPr>
        <w:pStyle w:val="Heading4"/>
      </w:pPr>
      <w:r>
        <w:t xml:space="preserve">Terms and Conditions</w:t>
      </w:r>
    </w:p>
    <w:p>
      <w:pPr>
        <w:numPr>
          <w:ilvl w:val="0"/>
          <w:numId w:val="1001"/>
        </w:numPr>
        <w:pStyle w:val="Compact"/>
      </w:pPr>
      <w:r>
        <w:t xml:space="preserve">All services provided by the Medical Researcher are subject to the professional standards of the Bangladesh Medical Association.</w:t>
      </w:r>
    </w:p>
    <w:p>
      <w:pPr>
        <w:numPr>
          <w:ilvl w:val="0"/>
          <w:numId w:val="1001"/>
        </w:numPr>
        <w:pStyle w:val="Compact"/>
      </w:pPr>
      <w:r>
        <w:t xml:space="preserve">Intellectual property rights regarding the raw data collected in Dhaka remain with the client, while the methodology developed by the Medical Researcher remains the property of Apex Medical Research Institute.</w:t>
      </w:r>
    </w:p>
    <w:p>
      <w:pPr>
        <w:numPr>
          <w:ilvl w:val="0"/>
          <w:numId w:val="1001"/>
        </w:numPr>
        <w:pStyle w:val="Compact"/>
      </w:pPr>
      <w:r>
        <w:t xml:space="preserve">This invoice is valid for the specific project scope defined in the contract dated August 15, 2023.</w:t>
      </w:r>
    </w:p>
    <w:p>
      <w:pPr>
        <w:numPr>
          <w:ilvl w:val="0"/>
          <w:numId w:val="1001"/>
        </w:numPr>
        <w:pStyle w:val="Compact"/>
      </w:pPr>
      <w:r>
        <w:t xml:space="preserve">Any disputes regarding this invoice shall be settled under the laws of Bangladesh, with jurisdiction in the courts of Dhaka.</w:t>
      </w:r>
    </w:p>
    <w:bookmarkEnd w:id="24"/>
    <w:p>
      <w:pPr>
        <w:pStyle w:val="FirstParagraph"/>
      </w:pPr>
      <w:r>
        <w:rPr>
          <w:bCs/>
          <w:b/>
        </w:rPr>
        <w:t xml:space="preserve">Authorized Signature</w:t>
      </w:r>
    </w:p>
    <w:p>
      <w:pPr>
        <w:pStyle w:val="BodyText"/>
      </w:pPr>
      <w:r>
        <w:t xml:space="preserve">Dr. Farhana Rahman</w:t>
      </w:r>
    </w:p>
    <w:p>
      <w:pPr>
        <w:pStyle w:val="BodyText"/>
      </w:pPr>
      <w:r>
        <w:t xml:space="preserve">Lead Medical Researcher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Dhaka, Bangladesh</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