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w:t>
      </w:r>
      <w:r>
        <w:t xml:space="preserve"> </w:t>
      </w:r>
      <w:r>
        <w:t xml:space="preserve">Services</w:t>
      </w:r>
    </w:p>
    <w:bookmarkStart w:id="20" w:name="brussels-bioscience-labs"/>
    <w:p>
      <w:pPr>
        <w:pStyle w:val="Heading1"/>
      </w:pPr>
      <w:r>
        <w:t xml:space="preserve">Brussels BioScience Labs</w:t>
      </w:r>
    </w:p>
    <w:p>
      <w:pPr>
        <w:pStyle w:val="FirstParagraph"/>
      </w:pPr>
      <w:r>
        <w:t xml:space="preserve">Independent Medical Research &amp; Clinical Analysis</w:t>
      </w:r>
    </w:p>
    <w:p>
      <w:pPr>
        <w:pStyle w:val="BodyText"/>
      </w:pPr>
      <w:r>
        <w:t xml:space="preserve">Av. Louise 540, 1050 Brussels, Belgium</w:t>
      </w:r>
    </w:p>
    <w:p>
      <w:pPr>
        <w:pStyle w:val="BodyText"/>
      </w:pPr>
      <w:r>
        <w:t xml:space="preserve">Enterprise Number: BE 0891.234.567</w:t>
      </w:r>
    </w:p>
    <w:p>
      <w:pPr>
        <w:pStyle w:val="BodyText"/>
      </w:pPr>
      <w:r>
        <w:t xml:space="preserve">VAT ID: BE0891234567</w:t>
      </w:r>
    </w:p>
    <w:p>
      <w:pPr>
        <w:pStyle w:val="BodyText"/>
      </w:pPr>
      <w:r>
        <w:t xml:space="preserve">Email: billing@brusselsbioscience.be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INV-2023-BRU-0892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European Institute of Advanced Medicine</w:t>
      </w:r>
    </w:p>
    <w:p>
      <w:pPr>
        <w:pStyle w:val="BodyText"/>
      </w:pPr>
      <w:r>
        <w:t xml:space="preserve">Attn: Procurement Department</w:t>
      </w:r>
    </w:p>
    <w:p>
      <w:pPr>
        <w:pStyle w:val="BodyText"/>
      </w:pPr>
      <w:r>
        <w:t xml:space="preserve">Rue de la Loi 200</w:t>
      </w:r>
    </w:p>
    <w:p>
      <w:pPr>
        <w:pStyle w:val="BodyText"/>
      </w:pPr>
      <w:r>
        <w:t xml:space="preserve">1040 Brussels, Belgium</w:t>
      </w:r>
    </w:p>
    <w:p>
      <w:pPr>
        <w:pStyle w:val="BodyText"/>
      </w:pPr>
      <w:r>
        <w:t xml:space="preserve">VAT ID: BE0456789012</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Phase III Clinical Trial Analysis</w:t>
      </w:r>
    </w:p>
    <w:p>
      <w:pPr>
        <w:pStyle w:val="BodyText"/>
      </w:pPr>
      <w:r>
        <w:rPr>
          <w:bCs/>
          <w:b/>
        </w:rPr>
        <w:t xml:space="preserve">Subject:</w:t>
      </w:r>
      <w:r>
        <w:t xml:space="preserve"> </w:t>
      </w:r>
      <w:r>
        <w:t xml:space="preserve">Neurological Biomarker Study</w:t>
      </w:r>
    </w:p>
    <w:p>
      <w:pPr>
        <w:pStyle w:val="BodyText"/>
      </w:pPr>
      <w:r>
        <w:rPr>
          <w:bCs/>
          <w:b/>
        </w:rPr>
        <w:t xml:space="preserve">Location:</w:t>
      </w:r>
      <w:r>
        <w:t xml:space="preserve"> </w:t>
      </w:r>
      <w:r>
        <w:t xml:space="preserve">Brussels University Hospital (CHU)</w:t>
      </w:r>
    </w:p>
    <w:p>
      <w:pPr>
        <w:pStyle w:val="BodyText"/>
      </w:pPr>
      <w:r>
        <w:rPr>
          <w:bCs/>
          <w:b/>
        </w:rPr>
        <w:t xml:space="preserve">Contract Ref:</w:t>
      </w:r>
      <w:r>
        <w:t xml:space="preserve"> </w:t>
      </w:r>
      <w:r>
        <w:t xml:space="preserve">EU-MED-RES-2023-44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Senior Medical Researcher Consultation</w:t>
            </w:r>
            <w:r>
              <w:br/>
            </w:r>
            <w:r>
              <w:t xml:space="preserve">Strategic planning and protocol design for the neurological biomarker study. Includes literature review of current EU clinical standards and alignment with Belgian regulatory requirements.</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Clinical Data Analysis &amp; Interpretation</w:t>
            </w:r>
            <w:r>
              <w:br/>
            </w:r>
            <w:r>
              <w:t xml:space="preserve">Comprehensive statistical analysis of patient data collected in Brussels. Utilization of advanced biostatistical software to determine efficacy and safety profiles.</w:t>
            </w:r>
          </w:p>
        </w:tc>
        <w:tc>
          <w:tcPr/>
          <w:p>
            <w:pPr>
              <w:pStyle w:val="Compact"/>
              <w:jc w:val="left"/>
            </w:pPr>
            <w:r>
              <w:t xml:space="preserve">60.0</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3</w:t>
            </w:r>
          </w:p>
        </w:tc>
        <w:tc>
          <w:tcPr/>
          <w:p>
            <w:pPr>
              <w:pStyle w:val="Compact"/>
              <w:jc w:val="left"/>
            </w:pPr>
            <w:r>
              <w:rPr>
                <w:bCs/>
                <w:b/>
              </w:rPr>
              <w:t xml:space="preserve">Regulatory Compliance Review (Belgium)</w:t>
            </w:r>
            <w:r>
              <w:br/>
            </w:r>
            <w:r>
              <w:t xml:space="preserve">Ensuring all research activities comply with the Belgian Federal Agency for Medicines and Health Products (FAMHP) guidelines and GDPR data protection laws.</w:t>
            </w:r>
          </w:p>
        </w:tc>
        <w:tc>
          <w:tcPr/>
          <w:p>
            <w:pPr>
              <w:pStyle w:val="Compact"/>
              <w:jc w:val="left"/>
            </w:pPr>
            <w:r>
              <w:t xml:space="preserve">15.0</w:t>
            </w:r>
          </w:p>
        </w:tc>
        <w:tc>
          <w:tcPr/>
          <w:p>
            <w:pPr>
              <w:pStyle w:val="Compact"/>
              <w:jc w:val="left"/>
            </w:pPr>
            <w:r>
              <w:t xml:space="preserve">200.00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Medical Researcher Reporting</w:t>
            </w:r>
            <w:r>
              <w:br/>
            </w:r>
            <w:r>
              <w:t xml:space="preserve">Drafting of the interim clinical study report. Includes detailed methodology, results visualization, and discussion of findings relevant to the Brussels medical community.</w:t>
            </w:r>
          </w:p>
        </w:tc>
        <w:tc>
          <w:tcPr/>
          <w:p>
            <w:pPr>
              <w:pStyle w:val="Compact"/>
              <w:jc w:val="left"/>
            </w:pPr>
            <w:r>
              <w:t xml:space="preserve">25.0</w:t>
            </w:r>
          </w:p>
        </w:tc>
        <w:tc>
          <w:tcPr/>
          <w:p>
            <w:pPr>
              <w:pStyle w:val="Compact"/>
              <w:jc w:val="left"/>
            </w:pPr>
            <w:r>
              <w:t xml:space="preserve">160.00</w:t>
            </w:r>
          </w:p>
        </w:tc>
        <w:tc>
          <w:tcPr/>
          <w:p>
            <w:pPr>
              <w:pStyle w:val="Compact"/>
              <w:jc w:val="left"/>
            </w:pPr>
            <w:r>
              <w:t xml:space="preserve">4,000.00</w:t>
            </w:r>
          </w:p>
        </w:tc>
      </w:tr>
      <w:tr>
        <w:tc>
          <w:tcPr/>
          <w:p>
            <w:pPr>
              <w:pStyle w:val="Compact"/>
              <w:jc w:val="left"/>
            </w:pPr>
            <w:r>
              <w:t xml:space="preserve">5</w:t>
            </w:r>
          </w:p>
        </w:tc>
        <w:tc>
          <w:tcPr/>
          <w:p>
            <w:pPr>
              <w:pStyle w:val="Compact"/>
              <w:jc w:val="left"/>
            </w:pPr>
            <w:r>
              <w:rPr>
                <w:bCs/>
                <w:b/>
              </w:rPr>
              <w:t xml:space="preserve">Site Visit &amp; Oversight</w:t>
            </w:r>
            <w:r>
              <w:br/>
            </w:r>
            <w:r>
              <w:t xml:space="preserve">On-site supervision at the Brussels University Hospital to ensure data integrity and adherence to the research protocol.</w:t>
            </w:r>
          </w:p>
        </w:tc>
        <w:tc>
          <w:tcPr/>
          <w:p>
            <w:pPr>
              <w:pStyle w:val="Compact"/>
              <w:jc w:val="left"/>
            </w:pPr>
            <w:r>
              <w:t xml:space="preserve">8.0</w:t>
            </w:r>
          </w:p>
        </w:tc>
        <w:tc>
          <w:tcPr/>
          <w:p>
            <w:pPr>
              <w:pStyle w:val="Compact"/>
              <w:jc w:val="left"/>
            </w:pPr>
            <w:r>
              <w:t xml:space="preserve">190.00</w:t>
            </w:r>
          </w:p>
        </w:tc>
        <w:tc>
          <w:tcPr/>
          <w:p>
            <w:pPr>
              <w:pStyle w:val="Compact"/>
              <w:jc w:val="left"/>
            </w:pPr>
            <w:r>
              <w:t xml:space="preserve">1,520.00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26,420.00 EUR</w:t>
            </w:r>
          </w:p>
        </w:tc>
      </w:tr>
      <w:tr>
        <w:tc>
          <w:tcPr/>
          <w:p>
            <w:pPr>
              <w:pStyle w:val="Compact"/>
              <w:jc w:val="left"/>
            </w:pPr>
            <w:r>
              <w:t xml:space="preserve">VAT (21% - Standard Rate Belgium)</w:t>
            </w:r>
          </w:p>
        </w:tc>
        <w:tc>
          <w:tcPr/>
          <w:p>
            <w:pPr>
              <w:pStyle w:val="Compact"/>
              <w:jc w:val="left"/>
            </w:pPr>
            <w:r>
              <w:t xml:space="preserve">5,548.20 EUR</w:t>
            </w:r>
          </w:p>
        </w:tc>
      </w:tr>
      <w:tr>
        <w:tc>
          <w:tcPr/>
          <w:p>
            <w:pPr>
              <w:pStyle w:val="Compact"/>
              <w:jc w:val="left"/>
            </w:pPr>
            <w:r>
              <w:t xml:space="preserve">TOTAL DUE</w:t>
            </w:r>
          </w:p>
        </w:tc>
        <w:tc>
          <w:tcPr/>
          <w:p>
            <w:pPr>
              <w:pStyle w:val="Compact"/>
              <w:jc w:val="left"/>
            </w:pPr>
            <w:r>
              <w:t xml:space="preserve">31,968.20 EUR</w:t>
            </w:r>
          </w:p>
        </w:tc>
      </w:tr>
    </w:tbl>
    <w:bookmarkStart w:id="24" w:name="payment-instructions"/>
    <w:p>
      <w:pPr>
        <w:pStyle w:val="Heading4"/>
      </w:pPr>
      <w:r>
        <w:t xml:space="preserve">Payment Instructions</w:t>
      </w:r>
    </w:p>
    <w:p>
      <w:pPr>
        <w:pStyle w:val="FirstParagraph"/>
      </w:pPr>
      <w:r>
        <w:t xml:space="preserve">Please make payment via bank transfer to the following account within 30 days of the invoice date.</w:t>
      </w:r>
      <w:r>
        <w:br/>
      </w:r>
      <w:r>
        <w:rPr>
          <w:bCs/>
          <w:b/>
        </w:rPr>
        <w:t xml:space="preserve">Bank:</w:t>
      </w:r>
      <w:r>
        <w:t xml:space="preserve"> </w:t>
      </w:r>
      <w:r>
        <w:t xml:space="preserve">KBC Bank, Brussels Branch</w:t>
      </w:r>
      <w:r>
        <w:br/>
      </w:r>
      <w:r>
        <w:rPr>
          <w:bCs/>
          <w:b/>
        </w:rPr>
        <w:t xml:space="preserve">IBAN:</w:t>
      </w:r>
      <w:r>
        <w:t xml:space="preserve"> </w:t>
      </w:r>
      <w:r>
        <w:t xml:space="preserve">BE68 5390 0754 7034</w:t>
      </w:r>
      <w:r>
        <w:br/>
      </w:r>
      <w:r>
        <w:rPr>
          <w:bCs/>
          <w:b/>
        </w:rPr>
        <w:t xml:space="preserve">BIC/SWIFT:</w:t>
      </w:r>
      <w:r>
        <w:t xml:space="preserve"> </w:t>
      </w:r>
      <w:r>
        <w:t xml:space="preserve">KREDBEBB</w:t>
      </w:r>
      <w:r>
        <w:br/>
      </w:r>
      <w:r>
        <w:rPr>
          <w:bCs/>
          <w:b/>
        </w:rPr>
        <w:t xml:space="preserve">Reference:</w:t>
      </w:r>
      <w:r>
        <w:t xml:space="preserve"> </w:t>
      </w:r>
      <w:r>
        <w:t xml:space="preserve">INV-2023-BRU-0892</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Jurisdiction:</w:t>
      </w:r>
      <w:r>
        <w:t xml:space="preserve"> </w:t>
      </w:r>
      <w:r>
        <w:t xml:space="preserve">This invoice and the services rendered are governed by the laws of Belgium. Any disputes arising from this transaction shall be subject to the exclusive jurisdiction of the courts of Brussels.</w:t>
      </w:r>
    </w:p>
    <w:p>
      <w:pPr>
        <w:pStyle w:val="BodyText"/>
      </w:pPr>
      <w:r>
        <w:t xml:space="preserve">2.</w:t>
      </w:r>
      <w:r>
        <w:t xml:space="preserve"> </w:t>
      </w:r>
      <w:r>
        <w:rPr>
          <w:bCs/>
          <w:b/>
        </w:rPr>
        <w:t xml:space="preserve">Medical Researcher Liability:</w:t>
      </w:r>
      <w:r>
        <w:t xml:space="preserve"> </w:t>
      </w:r>
      <w:r>
        <w:t xml:space="preserve">The Medical Researcher provides services based on current scientific knowledge and best practices. While every effort is made to ensure accuracy, Brussels BioScience Labs is not liable for indirect damages resulting from the interpretation of research data by third parties.</w:t>
      </w:r>
    </w:p>
    <w:p>
      <w:pPr>
        <w:pStyle w:val="BodyText"/>
      </w:pPr>
      <w:r>
        <w:t xml:space="preserve">3.</w:t>
      </w:r>
      <w:r>
        <w:t xml:space="preserve"> </w:t>
      </w:r>
      <w:r>
        <w:rPr>
          <w:bCs/>
          <w:b/>
        </w:rPr>
        <w:t xml:space="preserve">VAT Compliance:</w:t>
      </w:r>
      <w:r>
        <w:t xml:space="preserve"> </w:t>
      </w:r>
      <w:r>
        <w:t xml:space="preserve">The VAT rate of 21% is applied in accordance with the Belgian VAT Code. If the client is a VAT-registered entity in the EU, the reverse charge mechanism may apply. Please contact our finance department if you wish to apply the reverse charge procedure.</w:t>
      </w:r>
    </w:p>
    <w:p>
      <w:pPr>
        <w:pStyle w:val="BodyText"/>
      </w:pPr>
      <w:r>
        <w:t xml:space="preserve">4.</w:t>
      </w:r>
      <w:r>
        <w:t xml:space="preserve"> </w:t>
      </w:r>
      <w:r>
        <w:rPr>
          <w:bCs/>
          <w:b/>
        </w:rPr>
        <w:t xml:space="preserve">Confidentiality:</w:t>
      </w:r>
      <w:r>
        <w:t xml:space="preserve"> </w:t>
      </w:r>
      <w:r>
        <w:t xml:space="preserve">All data, patient information, and research findings discussed in this invoice and related documents are strictly confidential. They are protected under Belgian privacy laws and international medical ethics standards.</w:t>
      </w:r>
    </w:p>
    <w:p>
      <w:pPr>
        <w:pStyle w:val="BodyText"/>
      </w:pPr>
      <w:r>
        <w:t xml:space="preserve">5.</w:t>
      </w:r>
      <w:r>
        <w:t xml:space="preserve"> </w:t>
      </w:r>
      <w:r>
        <w:rPr>
          <w:bCs/>
          <w:b/>
        </w:rPr>
        <w:t xml:space="preserve">Late Payments:</w:t>
      </w:r>
      <w:r>
        <w:t xml:space="preserve"> </w:t>
      </w:r>
      <w:r>
        <w:t xml:space="preserve">In the event of late payment, interest will be charged at the statutory rate applicable in Belgium, plus a fixed collection fee of €40.00.</w:t>
      </w:r>
    </w:p>
    <w:p>
      <w:pPr>
        <w:pStyle w:val="BodyText"/>
      </w:pPr>
      <w:r>
        <w:t xml:space="preserve">Thank you for your business. We appreciate the opportunity to contribute to medical advancement in Brussels and beyond.</w:t>
      </w:r>
    </w:p>
    <w:bookmarkEnd w:id="25"/>
    <w:p>
      <w:pPr>
        <w:pStyle w:val="BodyText"/>
      </w:pPr>
      <w:r>
        <w:t xml:space="preserve">Brussels BioScience Labs © 2023. All rights reserved.</w:t>
      </w:r>
    </w:p>
    <w:p>
      <w:pPr>
        <w:pStyle w:val="BodyText"/>
      </w:pPr>
      <w:r>
        <w:t xml:space="preserve">This is a computer-generated invoice. No signature is required.</w:t>
      </w:r>
    </w:p>
    <w:p>
      <w:pPr>
        <w:pStyle w:val="BodyText"/>
      </w:pPr>
      <w:r>
        <w:t xml:space="preserve">Registered Office: Av. Louise 540, 1050 Brussels, Belgium | VAT: BE0891234567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 Services</dc:title>
  <dc:creator/>
  <dc:language>en</dc:language>
  <cp:keywords/>
  <dcterms:created xsi:type="dcterms:W3CDTF">2026-10-10T01:23:22Z</dcterms:created>
  <dcterms:modified xsi:type="dcterms:W3CDTF">2026-10-10T01:23:22Z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