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montreal-clinical-research-group"/>
    <w:p>
      <w:pPr>
        <w:pStyle w:val="Heading1"/>
      </w:pPr>
      <w:r>
        <w:t xml:space="preserve">Montreal Clinical Research Group</w:t>
      </w:r>
    </w:p>
    <w:p>
      <w:pPr>
        <w:pStyle w:val="FirstParagraph"/>
      </w:pPr>
      <w:r>
        <w:t xml:space="preserve">1280 Sherbrooke Street West, Suite 400</w:t>
      </w:r>
    </w:p>
    <w:p>
      <w:pPr>
        <w:pStyle w:val="BodyText"/>
      </w:pPr>
      <w:r>
        <w:t xml:space="preserve">Montreal, Quebec, Canada H3G 1H5</w:t>
      </w:r>
    </w:p>
    <w:p>
      <w:pPr>
        <w:pStyle w:val="BodyText"/>
      </w:pPr>
      <w:r>
        <w:t xml:space="preserve">Phone: +1 (514) 555-0199</w:t>
      </w:r>
    </w:p>
    <w:p>
      <w:pPr>
        <w:pStyle w:val="BodyText"/>
      </w:pPr>
      <w:r>
        <w:t xml:space="preserve">Email: billing@mcr-research.ca</w:t>
      </w:r>
    </w:p>
    <w:p>
      <w:pPr>
        <w:pStyle w:val="BodyText"/>
      </w:pPr>
      <w:r>
        <w:t xml:space="preserve">QST #: 1234567890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Phase II Oncology Trial - Data Analysis</w:t>
      </w:r>
    </w:p>
    <w:bookmarkEnd w:id="21"/>
    <w:bookmarkStart w:id="22" w:name="bill-to"/>
    <w:p>
      <w:pPr>
        <w:pStyle w:val="Heading3"/>
      </w:pPr>
      <w:r>
        <w:t xml:space="preserve">Bill To</w:t>
      </w:r>
    </w:p>
    <w:p>
      <w:pPr>
        <w:pStyle w:val="FirstParagraph"/>
      </w:pPr>
      <w:r>
        <w:rPr>
          <w:bCs/>
          <w:b/>
        </w:rPr>
        <w:t xml:space="preserve">Dr. Sarah Lavoie</w:t>
      </w:r>
    </w:p>
    <w:p>
      <w:pPr>
        <w:pStyle w:val="BodyText"/>
      </w:pPr>
      <w:r>
        <w:t xml:space="preserve">Director of Research Operations</w:t>
      </w:r>
    </w:p>
    <w:p>
      <w:pPr>
        <w:pStyle w:val="BodyText"/>
      </w:pPr>
      <w:r>
        <w:t xml:space="preserve">Montreal University Health Centre (MUHC)</w:t>
      </w:r>
    </w:p>
    <w:p>
      <w:pPr>
        <w:pStyle w:val="BodyText"/>
      </w:pPr>
      <w:r>
        <w:t xml:space="preserve">1001 Decarie Boulevard</w:t>
      </w:r>
    </w:p>
    <w:p>
      <w:pPr>
        <w:pStyle w:val="BodyText"/>
      </w:pPr>
      <w:r>
        <w:t xml:space="preserve">Montreal, Quebec, Canada H4A 3J1</w:t>
      </w:r>
    </w:p>
    <w:bookmarkEnd w:id="22"/>
    <w:bookmarkStart w:id="23" w:name="payment-method"/>
    <w:p>
      <w:pPr>
        <w:pStyle w:val="Heading3"/>
      </w:pPr>
      <w:r>
        <w:t xml:space="preserve">Payment Method</w:t>
      </w:r>
    </w:p>
    <w:p>
      <w:pPr>
        <w:pStyle w:val="FirstParagraph"/>
      </w:pPr>
      <w:r>
        <w:rPr>
          <w:bCs/>
          <w:b/>
        </w:rPr>
        <w:t xml:space="preserve">Bank Transfer (EFT)</w:t>
      </w:r>
    </w:p>
    <w:p>
      <w:pPr>
        <w:pStyle w:val="BodyText"/>
      </w:pPr>
      <w:r>
        <w:t xml:space="preserve">Bank: Banque Nationale du Canada</w:t>
      </w:r>
    </w:p>
    <w:p>
      <w:pPr>
        <w:pStyle w:val="BodyText"/>
      </w:pPr>
      <w:r>
        <w:t xml:space="preserve">Branch: Montreal Downtown</w:t>
      </w:r>
    </w:p>
    <w:p>
      <w:pPr>
        <w:pStyle w:val="BodyText"/>
      </w:pPr>
      <w:r>
        <w:t xml:space="preserve">Transit: 00234</w:t>
      </w:r>
    </w:p>
    <w:p>
      <w:pPr>
        <w:pStyle w:val="BodyText"/>
      </w:pPr>
      <w:r>
        <w:t xml:space="preserve">Institution: 002</w:t>
      </w:r>
    </w:p>
    <w:p>
      <w:pPr>
        <w:pStyle w:val="BodyText"/>
      </w:pPr>
      <w:r>
        <w:t xml:space="preserve">Account: 12345678</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rPr>
                <w:bCs/>
                <w:b/>
              </w:rPr>
              <w:t xml:space="preserve">Senior Medical Researcher Consultation</w:t>
            </w:r>
            <w:r>
              <w:br/>
            </w:r>
            <w:r>
              <w:t xml:space="preserve"> </w:t>
            </w:r>
            <w:r>
              <w:t xml:space="preserve">Provision of expert medical research services within the jurisdiction of Canada Montreal.</w:t>
            </w:r>
            <w:r>
              <w:t xml:space="preserve"> </w:t>
            </w:r>
            <w:r>
              <w:t xml:space="preserve">Includes comprehensive review of clinical trial protocols, ensuring compliance with Health Canada</w:t>
            </w:r>
            <w:r>
              <w:t xml:space="preserve"> </w:t>
            </w:r>
            <w:r>
              <w:t xml:space="preserve">regulations and the Tri-Council Policy Statement (TCPS2). Detailed analysis of patient recruitment</w:t>
            </w:r>
            <w:r>
              <w:t xml:space="preserve"> </w:t>
            </w:r>
            <w:r>
              <w:t xml:space="preserve">strategies specific to the Montreal metropolitan area.</w:t>
            </w:r>
            <w:r>
              <w:t xml:space="preserve"> </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Statistical Data Analysis &amp; Reporting</w:t>
            </w:r>
            <w:r>
              <w:br/>
            </w:r>
            <w:r>
              <w:t xml:space="preserve"> </w:t>
            </w:r>
            <w:r>
              <w:t xml:space="preserve">Execution of advanced statistical modeling for Phase II trial data. The Medical Researcher</w:t>
            </w:r>
            <w:r>
              <w:t xml:space="preserve"> </w:t>
            </w:r>
            <w:r>
              <w:t xml:space="preserve">performed rigorous data cleaning, hypothesis testing, and generation of statistical reports</w:t>
            </w:r>
            <w:r>
              <w:t xml:space="preserve"> </w:t>
            </w:r>
            <w:r>
              <w:t xml:space="preserve">required for regulatory submission. This service ensures the integrity of research data</w:t>
            </w:r>
            <w:r>
              <w:t xml:space="preserve"> </w:t>
            </w:r>
            <w:r>
              <w:t xml:space="preserve">collected across Montreal hospital networks.</w:t>
            </w:r>
            <w:r>
              <w:t xml:space="preserve"> </w:t>
            </w:r>
          </w:p>
        </w:tc>
        <w:tc>
          <w:tcPr/>
          <w:p>
            <w:pPr>
              <w:pStyle w:val="Compact"/>
              <w:jc w:val="left"/>
            </w:pPr>
            <w:r>
              <w:t xml:space="preserve">25.0</w:t>
            </w:r>
          </w:p>
        </w:tc>
        <w:tc>
          <w:tcPr/>
          <w:p>
            <w:pPr>
              <w:pStyle w:val="Compact"/>
              <w:jc w:val="left"/>
            </w:pPr>
            <w:r>
              <w:t xml:space="preserve">195.00</w:t>
            </w:r>
          </w:p>
        </w:tc>
        <w:tc>
          <w:tcPr/>
          <w:p>
            <w:pPr>
              <w:pStyle w:val="Compact"/>
              <w:jc w:val="left"/>
            </w:pPr>
            <w:r>
              <w:t xml:space="preserve">4,875.00</w:t>
            </w:r>
          </w:p>
        </w:tc>
      </w:tr>
      <w:tr>
        <w:tc>
          <w:tcPr/>
          <w:p>
            <w:pPr>
              <w:pStyle w:val="Compact"/>
              <w:jc w:val="left"/>
            </w:pPr>
            <w:r>
              <w:rPr>
                <w:bCs/>
                <w:b/>
              </w:rPr>
              <w:t xml:space="preserve">Regulatory Compliance Audit</w:t>
            </w:r>
            <w:r>
              <w:br/>
            </w:r>
            <w:r>
              <w:t xml:space="preserve"> </w:t>
            </w:r>
            <w:r>
              <w:t xml:space="preserve">Detailed audit of research documentation to ensure adherence to Canadian Food and Drugs Act</w:t>
            </w:r>
            <w:r>
              <w:t xml:space="preserve"> </w:t>
            </w:r>
            <w:r>
              <w:t xml:space="preserve">and Good Clinical Practice (GCP) guidelines. The Medical Researcher verified informed consent</w:t>
            </w:r>
            <w:r>
              <w:t xml:space="preserve"> </w:t>
            </w:r>
            <w:r>
              <w:t xml:space="preserve">forms and adverse event reporting logs specific to the Canada Montreal site requirements.</w:t>
            </w:r>
            <w:r>
              <w:t xml:space="preserve"> </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w:t>
            </w:r>
          </w:p>
        </w:tc>
      </w:tr>
      <w:tr>
        <w:tc>
          <w:tcPr/>
          <w:p>
            <w:pPr>
              <w:pStyle w:val="Compact"/>
              <w:jc w:val="left"/>
            </w:pPr>
            <w:r>
              <w:rPr>
                <w:bCs/>
                <w:b/>
              </w:rPr>
              <w:t xml:space="preserve">Manuscript Preparation &amp; Review</w:t>
            </w:r>
            <w:r>
              <w:br/>
            </w:r>
            <w:r>
              <w:t xml:space="preserve"> </w:t>
            </w:r>
            <w:r>
              <w:t xml:space="preserve">Drafting and editing of the final research manuscript for submission to peer-reviewed journals.</w:t>
            </w:r>
            <w:r>
              <w:t xml:space="preserve"> </w:t>
            </w:r>
            <w:r>
              <w:t xml:space="preserve">Includes formatting according to AMA style and ensuring accurate representation of findings</w:t>
            </w:r>
            <w:r>
              <w:t xml:space="preserve"> </w:t>
            </w:r>
            <w:r>
              <w:t xml:space="preserve">derived from the Montreal cohort study.</w:t>
            </w:r>
            <w:r>
              <w:t xml:space="preserve"> </w:t>
            </w:r>
          </w:p>
        </w:tc>
        <w:tc>
          <w:tcPr/>
          <w:p>
            <w:pPr>
              <w:pStyle w:val="Compact"/>
              <w:jc w:val="left"/>
            </w:pPr>
            <w:r>
              <w:t xml:space="preserve">10.0</w:t>
            </w:r>
          </w:p>
        </w:tc>
        <w:tc>
          <w:tcPr/>
          <w:p>
            <w:pPr>
              <w:pStyle w:val="Compact"/>
              <w:jc w:val="left"/>
            </w:pPr>
            <w:r>
              <w:t xml:space="preserve">160.00</w:t>
            </w:r>
          </w:p>
        </w:tc>
        <w:tc>
          <w:tcPr/>
          <w:p>
            <w:pPr>
              <w:pStyle w:val="Compact"/>
              <w:jc w:val="left"/>
            </w:pPr>
            <w:r>
              <w:t xml:space="preserve">1,600.00</w:t>
            </w:r>
          </w:p>
        </w:tc>
      </w:tr>
    </w:tbl>
    <w:p>
      <w:pPr>
        <w:pStyle w:val="BodyText"/>
      </w:pPr>
      <w:r>
        <w:t xml:space="preserve">Subtotal:</w:t>
      </w:r>
      <w:r>
        <w:t xml:space="preserve"> </w:t>
      </w:r>
      <w:r>
        <w:t xml:space="preserve">$16,250.00</w:t>
      </w:r>
    </w:p>
    <w:p>
      <w:pPr>
        <w:pStyle w:val="BodyText"/>
      </w:pPr>
      <w:r>
        <w:t xml:space="preserve">QST (9.975%):</w:t>
      </w:r>
      <w:r>
        <w:t xml:space="preserve"> </w:t>
      </w:r>
      <w:r>
        <w:t xml:space="preserve">$1,620.94</w:t>
      </w:r>
    </w:p>
    <w:p>
      <w:pPr>
        <w:pStyle w:val="BodyText"/>
      </w:pPr>
      <w:r>
        <w:t xml:space="preserve">GST (5.0%):</w:t>
      </w:r>
      <w:r>
        <w:t xml:space="preserve"> </w:t>
      </w:r>
      <w:r>
        <w:t xml:space="preserve">$812.50</w:t>
      </w:r>
    </w:p>
    <w:p>
      <w:pPr>
        <w:pStyle w:val="BodyText"/>
      </w:pPr>
      <w:r>
        <w:t xml:space="preserve">Total Due (CAD):</w:t>
      </w:r>
      <w:r>
        <w:t xml:space="preserve"> </w:t>
      </w:r>
      <w:r>
        <w:t xml:space="preserve">$18,683.44</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be subject to a 1.5% monthly interest charge in accordance with the Canadian Interest Act.</w:t>
      </w:r>
    </w:p>
    <w:p>
      <w:pPr>
        <w:pStyle w:val="BodyText"/>
      </w:pPr>
      <w:r>
        <w:t xml:space="preserve">2.</w:t>
      </w:r>
      <w:r>
        <w:t xml:space="preserve"> </w:t>
      </w:r>
      <w:r>
        <w:rPr>
          <w:bCs/>
          <w:b/>
        </w:rPr>
        <w:t xml:space="preserve">Scope of Work:</w:t>
      </w:r>
      <w:r>
        <w:t xml:space="preserve"> </w:t>
      </w:r>
      <w:r>
        <w:t xml:space="preserve">This Invoice covers the professional services rendered by the Medical Researcher as outlined in the Statement of Work dated September 1, 2023. All services were performed in accordance with the ethical standards required for medical research in Canada Montreal.</w:t>
      </w:r>
    </w:p>
    <w:p>
      <w:pPr>
        <w:pStyle w:val="BodyText"/>
      </w:pPr>
      <w:r>
        <w:t xml:space="preserve">3.</w:t>
      </w:r>
      <w:r>
        <w:t xml:space="preserve"> </w:t>
      </w:r>
      <w:r>
        <w:rPr>
          <w:bCs/>
          <w:b/>
        </w:rPr>
        <w:t xml:space="preserve">Confidentiality:</w:t>
      </w:r>
      <w:r>
        <w:t xml:space="preserve"> </w:t>
      </w:r>
      <w:r>
        <w:t xml:space="preserve">All data and information exchanged during this engagement remain confidential and are subject to the Non-Disclosure Agreement signed by both parties.</w:t>
      </w:r>
    </w:p>
    <w:p>
      <w:pPr>
        <w:pStyle w:val="BodyText"/>
      </w:pPr>
      <w:r>
        <w:t xml:space="preserve">4.</w:t>
      </w:r>
      <w:r>
        <w:t xml:space="preserve"> </w:t>
      </w:r>
      <w:r>
        <w:rPr>
          <w:bCs/>
          <w:b/>
        </w:rPr>
        <w:t xml:space="preserve">Taxation:</w:t>
      </w:r>
      <w:r>
        <w:t xml:space="preserve"> </w:t>
      </w:r>
      <w:r>
        <w:t xml:space="preserve">This Invoice includes the applicable Quebec Sales Tax (QST) and Goods and Services Tax (GST) as required by the Canada Revenue Agency and Revenu Québec.</w:t>
      </w:r>
    </w:p>
    <w:p>
      <w:pPr>
        <w:pStyle w:val="BodyText"/>
      </w:pPr>
      <w:r>
        <w:t xml:space="preserve">5.</w:t>
      </w:r>
      <w:r>
        <w:t xml:space="preserve"> </w:t>
      </w:r>
      <w:r>
        <w:rPr>
          <w:bCs/>
          <w:b/>
        </w:rPr>
        <w:t xml:space="preserve">Disputes:</w:t>
      </w:r>
      <w:r>
        <w:t xml:space="preserve"> </w:t>
      </w:r>
      <w:r>
        <w:t xml:space="preserve">Any disputes regarding this Invoice must be raised in writing within 14 days of receipt. Failure to do so will result in the Invoice being considered accepted.</w:t>
      </w:r>
    </w:p>
    <w:p>
      <w:pPr>
        <w:pStyle w:val="BodyText"/>
      </w:pPr>
      <w:r>
        <w:t xml:space="preserve">6.</w:t>
      </w:r>
      <w:r>
        <w:t xml:space="preserve"> </w:t>
      </w:r>
      <w:r>
        <w:rPr>
          <w:bCs/>
          <w:b/>
        </w:rPr>
        <w:t xml:space="preserve">Professional Liability:</w:t>
      </w:r>
      <w:r>
        <w:t xml:space="preserve"> </w:t>
      </w:r>
      <w:r>
        <w:t xml:space="preserve">The Medical Researcher maintains professional liability insurance as required for clinical research activities in the province of Quebec.</w:t>
      </w:r>
    </w:p>
    <w:bookmarkEnd w:id="24"/>
    <w:p>
      <w:pPr>
        <w:pStyle w:val="BodyText"/>
      </w:pPr>
      <w:r>
        <w:t xml:space="preserve">Thank you for your business. We appreciate your commitment to advancing medical science in Montreal.</w:t>
      </w:r>
    </w:p>
    <w:p>
      <w:pPr>
        <w:pStyle w:val="BodyText"/>
      </w:pPr>
      <w:r>
        <w:t xml:space="preserve">Montreal Clinical Research Group | 1280 Sherbrooke Street West, Suite 400, Montreal, Quebec, Canada H3G 1H5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2026-10-10T02:43:38Z</dcterms:created>
  <dcterms:modified xsi:type="dcterms:W3CDTF">2026-10-10T02:43:38Z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