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p>
    <w:bookmarkStart w:id="20" w:name="dr.-elena-vance-phd"/>
    <w:p>
      <w:pPr>
        <w:pStyle w:val="Heading1"/>
      </w:pPr>
      <w:r>
        <w:t xml:space="preserve">Dr. Elena Vance, PhD</w:t>
      </w:r>
    </w:p>
    <w:p>
      <w:pPr>
        <w:pStyle w:val="FirstParagraph"/>
      </w:pPr>
      <w:r>
        <w:rPr>
          <w:bCs/>
          <w:b/>
        </w:rPr>
        <w:t xml:space="preserve">Senior Medical Researcher &amp; Consultant</w:t>
      </w:r>
    </w:p>
    <w:p>
      <w:pPr>
        <w:pStyle w:val="BodyText"/>
      </w:pPr>
      <w:r>
        <w:t xml:space="preserve">123 Innovation Drive, Suite 400</w:t>
      </w:r>
    </w:p>
    <w:p>
      <w:pPr>
        <w:pStyle w:val="BodyText"/>
      </w:pPr>
      <w:r>
        <w:t xml:space="preserve">Toronto, Ontario, Canada Toronto M5V 2T6</w:t>
      </w:r>
    </w:p>
    <w:p>
      <w:pPr>
        <w:pStyle w:val="BodyText"/>
      </w:pPr>
      <w:r>
        <w:t xml:space="preserve">Phone: +1 (416) 555-0198</w:t>
      </w:r>
    </w:p>
    <w:p>
      <w:pPr>
        <w:pStyle w:val="BodyText"/>
      </w:pPr>
      <w:r>
        <w:t xml:space="preserve">Email: e.vance@medresearchtoronto.ca</w:t>
      </w:r>
    </w:p>
    <w:p>
      <w:pPr>
        <w:pStyle w:val="BodyText"/>
      </w:pPr>
      <w:r>
        <w:t xml:space="preserve">Business Number: 123456789RC0001</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Apex Clinical Trials Inc.</w:t>
      </w:r>
    </w:p>
    <w:p>
      <w:pPr>
        <w:pStyle w:val="BodyText"/>
      </w:pPr>
      <w:r>
        <w:t xml:space="preserve">Attn: Procurement Department</w:t>
      </w:r>
    </w:p>
    <w:p>
      <w:pPr>
        <w:pStyle w:val="BodyText"/>
      </w:pPr>
      <w:r>
        <w:t xml:space="preserve">456 Bay Street, Floor 12</w:t>
      </w:r>
    </w:p>
    <w:p>
      <w:pPr>
        <w:pStyle w:val="BodyText"/>
      </w:pPr>
      <w:r>
        <w:t xml:space="preserve">Toronto, Ontario, Canada Toronto M5H 2Y4</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INV-2023-10-045</w:t>
      </w:r>
    </w:p>
    <w:p>
      <w:pPr>
        <w:pStyle w:val="BodyText"/>
      </w:pPr>
      <w:r>
        <w:rPr>
          <w:bCs/>
          <w:b/>
        </w:rPr>
        <w:t xml:space="preserve">Project Reference:</w:t>
      </w:r>
      <w:r>
        <w:t xml:space="preserve"> </w:t>
      </w:r>
      <w:r>
        <w:t xml:space="preserve">TOR-ONCO-2023-PHASE2</w:t>
      </w:r>
    </w:p>
    <w:p>
      <w:pPr>
        <w:pStyle w:val="BodyText"/>
      </w:pPr>
      <w:r>
        <w:rPr>
          <w:bCs/>
          <w:b/>
        </w:rPr>
        <w:t xml:space="preserve">Payment Terms:</w:t>
      </w:r>
      <w:r>
        <w:t xml:space="preserve"> </w:t>
      </w:r>
      <w:r>
        <w:t xml:space="preserve">Net 30 Days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Phase II Oncology Data Analysis</w:t>
            </w:r>
            <w:r>
              <w:br/>
            </w:r>
            <w:r>
              <w:t xml:space="preserve">Comprehensive statistical analysis of patient cohort data for the Toronto-based clinical trial. Includes outlier detection, regression modeling, and efficacy assessment aligned with Health Canada guidelines.</w:t>
            </w:r>
          </w:p>
        </w:tc>
        <w:tc>
          <w:tcPr/>
          <w:p>
            <w:pPr>
              <w:pStyle w:val="Compact"/>
              <w:jc w:val="left"/>
            </w:pPr>
            <w:r>
              <w:t xml:space="preserve">40.0</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2</w:t>
            </w:r>
          </w:p>
        </w:tc>
        <w:tc>
          <w:tcPr/>
          <w:p>
            <w:pPr>
              <w:pStyle w:val="Compact"/>
              <w:jc w:val="left"/>
            </w:pPr>
            <w:r>
              <w:rPr>
                <w:bCs/>
                <w:b/>
              </w:rPr>
              <w:t xml:space="preserve">Regulatory Compliance Review</w:t>
            </w:r>
            <w:r>
              <w:br/>
            </w:r>
            <w:r>
              <w:t xml:space="preserve">Audit of research protocols to ensure strict adherence to the Tri-Council Policy Statement (TCPS 2) and local Toronto hospital ethics board requirements.</w:t>
            </w:r>
          </w:p>
        </w:tc>
        <w:tc>
          <w:tcPr/>
          <w:p>
            <w:pPr>
              <w:pStyle w:val="Compact"/>
              <w:jc w:val="left"/>
            </w:pPr>
            <w:r>
              <w:t xml:space="preserve">15.0</w:t>
            </w:r>
          </w:p>
        </w:tc>
        <w:tc>
          <w:tcPr/>
          <w:p>
            <w:pPr>
              <w:pStyle w:val="Compact"/>
              <w:jc w:val="left"/>
            </w:pPr>
            <w:r>
              <w:t xml:space="preserve">175.00</w:t>
            </w:r>
          </w:p>
        </w:tc>
        <w:tc>
          <w:tcPr/>
          <w:p>
            <w:pPr>
              <w:pStyle w:val="Compact"/>
              <w:jc w:val="left"/>
            </w:pPr>
            <w:r>
              <w:t xml:space="preserve">2,625.00</w:t>
            </w:r>
          </w:p>
        </w:tc>
      </w:tr>
      <w:tr>
        <w:tc>
          <w:tcPr/>
          <w:p>
            <w:pPr>
              <w:pStyle w:val="Compact"/>
              <w:jc w:val="left"/>
            </w:pPr>
            <w:r>
              <w:t xml:space="preserve">3</w:t>
            </w:r>
          </w:p>
        </w:tc>
        <w:tc>
          <w:tcPr/>
          <w:p>
            <w:pPr>
              <w:pStyle w:val="Compact"/>
              <w:jc w:val="left"/>
            </w:pPr>
            <w:r>
              <w:rPr>
                <w:bCs/>
                <w:b/>
              </w:rPr>
              <w:t xml:space="preserve">Medical Writing &amp; Manuscript Preparation</w:t>
            </w:r>
            <w:r>
              <w:br/>
            </w:r>
            <w:r>
              <w:t xml:space="preserve">Drafting of the interim results report for submission to international medical journals. Includes literature review and formatting according to AMA style.</w:t>
            </w:r>
          </w:p>
        </w:tc>
        <w:tc>
          <w:tcPr/>
          <w:p>
            <w:pPr>
              <w:pStyle w:val="Compact"/>
              <w:jc w:val="left"/>
            </w:pPr>
            <w:r>
              <w:t xml:space="preserve">25.0</w:t>
            </w:r>
          </w:p>
        </w:tc>
        <w:tc>
          <w:tcPr/>
          <w:p>
            <w:pPr>
              <w:pStyle w:val="Compact"/>
              <w:jc w:val="left"/>
            </w:pPr>
            <w:r>
              <w:t xml:space="preserve">160.00</w:t>
            </w:r>
          </w:p>
        </w:tc>
        <w:tc>
          <w:tcPr/>
          <w:p>
            <w:pPr>
              <w:pStyle w:val="Compact"/>
              <w:jc w:val="left"/>
            </w:pPr>
            <w:r>
              <w:t xml:space="preserve">4,000.00</w:t>
            </w:r>
          </w:p>
        </w:tc>
      </w:tr>
      <w:tr>
        <w:tc>
          <w:tcPr/>
          <w:p>
            <w:pPr>
              <w:pStyle w:val="Compact"/>
              <w:jc w:val="left"/>
            </w:pPr>
            <w:r>
              <w:t xml:space="preserve">4</w:t>
            </w:r>
          </w:p>
        </w:tc>
        <w:tc>
          <w:tcPr/>
          <w:p>
            <w:pPr>
              <w:pStyle w:val="Compact"/>
              <w:jc w:val="left"/>
            </w:pPr>
            <w:r>
              <w:rPr>
                <w:bCs/>
                <w:b/>
              </w:rPr>
              <w:t xml:space="preserve">Stakeholder Consultation</w:t>
            </w:r>
            <w:r>
              <w:br/>
            </w:r>
            <w:r>
              <w:t xml:space="preserve">On-site consultation at the Toronto research facility to present preliminary findings to the steering committee and address methodological queries.</w:t>
            </w:r>
          </w:p>
        </w:tc>
        <w:tc>
          <w:tcPr/>
          <w:p>
            <w:pPr>
              <w:pStyle w:val="Compact"/>
              <w:jc w:val="left"/>
            </w:pPr>
            <w:r>
              <w:t xml:space="preserve">4.0</w:t>
            </w:r>
          </w:p>
        </w:tc>
        <w:tc>
          <w:tcPr/>
          <w:p>
            <w:pPr>
              <w:pStyle w:val="Compact"/>
              <w:jc w:val="left"/>
            </w:pPr>
            <w:r>
              <w:t xml:space="preserve">200.00</w:t>
            </w:r>
          </w:p>
        </w:tc>
        <w:tc>
          <w:tcPr/>
          <w:p>
            <w:pPr>
              <w:pStyle w:val="Compact"/>
              <w:jc w:val="left"/>
            </w:pPr>
            <w:r>
              <w:t xml:space="preserve">800.00</w:t>
            </w:r>
          </w:p>
        </w:tc>
      </w:tr>
    </w:tbl>
    <w:p>
      <w:pPr>
        <w:pStyle w:val="BodyText"/>
      </w:pPr>
      <w:r>
        <w:t xml:space="preserve">Subtotal:</w:t>
      </w:r>
      <w:r>
        <w:t xml:space="preserve"> </w:t>
      </w:r>
      <w:r>
        <w:t xml:space="preserve">$14,425.00</w:t>
      </w:r>
    </w:p>
    <w:p>
      <w:pPr>
        <w:pStyle w:val="BodyText"/>
      </w:pPr>
      <w:r>
        <w:t xml:space="preserve">HST (13% - Ontario):</w:t>
      </w:r>
      <w:r>
        <w:t xml:space="preserve"> </w:t>
      </w:r>
      <w:r>
        <w:t xml:space="preserve">$1,875.25</w:t>
      </w:r>
    </w:p>
    <w:p>
      <w:pPr>
        <w:pStyle w:val="BodyText"/>
      </w:pPr>
      <w:r>
        <w:t xml:space="preserve">Total Due (CAD):</w:t>
      </w:r>
      <w:r>
        <w:t xml:space="preserve"> </w:t>
      </w:r>
      <w:r>
        <w:t xml:space="preserve">$16,300.25</w:t>
      </w:r>
    </w:p>
    <w:bookmarkStart w:id="24" w:name="payment-instructions-notes"/>
    <w:p>
      <w:pPr>
        <w:pStyle w:val="Heading4"/>
      </w:pPr>
      <w:r>
        <w:t xml:space="preserve">Payment Instructions &amp; Notes:</w:t>
      </w:r>
    </w:p>
    <w:p>
      <w:pPr>
        <w:pStyle w:val="FirstParagraph"/>
      </w:pPr>
      <w:r>
        <w:t xml:space="preserve">Please remit payment within 30 days of the invoice date. Late payments may be subject to a 1.5% monthly interest charge in accordance with the Ontario</w:t>
      </w:r>
      <w:r>
        <w:t xml:space="preserve"> </w:t>
      </w:r>
      <w:r>
        <w:rPr>
          <w:iCs/>
          <w:i/>
        </w:rPr>
        <w:t xml:space="preserve">Commercial Tenancies Act</w:t>
      </w:r>
      <w:r>
        <w:t xml:space="preserve"> </w:t>
      </w:r>
      <w:r>
        <w:t xml:space="preserve">and standard business practices in Canada Toronto.</w:t>
      </w:r>
    </w:p>
    <w:p>
      <w:pPr>
        <w:pStyle w:val="BodyText"/>
      </w:pPr>
      <w:r>
        <w:rPr>
          <w:bCs/>
          <w:b/>
        </w:rPr>
        <w:t xml:space="preserve">Bank Transfer Details:</w:t>
      </w:r>
    </w:p>
    <w:p>
      <w:pPr>
        <w:pStyle w:val="BodyText"/>
      </w:pPr>
      <w:r>
        <w:t xml:space="preserve">Bank: Royal Bank of Canada</w:t>
      </w:r>
      <w:r>
        <w:br/>
      </w:r>
      <w:r>
        <w:t xml:space="preserve">Branch: Toronto Financial District</w:t>
      </w:r>
      <w:r>
        <w:br/>
      </w:r>
      <w:r>
        <w:t xml:space="preserve">Account Name: Dr. Elena Vance Consulting</w:t>
      </w:r>
      <w:r>
        <w:br/>
      </w:r>
      <w:r>
        <w:t xml:space="preserve">Transit: 00123</w:t>
      </w:r>
      <w:r>
        <w:br/>
      </w:r>
      <w:r>
        <w:t xml:space="preserve">Institution: 003</w:t>
      </w:r>
      <w:r>
        <w:br/>
      </w:r>
      <w:r>
        <w:t xml:space="preserve">Account: 987654321</w:t>
      </w:r>
    </w:p>
    <w:p>
      <w:pPr>
        <w:pStyle w:val="BodyText"/>
      </w:pPr>
      <w:r>
        <w:rPr>
          <w:bCs/>
          <w:b/>
        </w:rPr>
        <w:t xml:space="preserve">Service Context:</w:t>
      </w:r>
      <w:r>
        <w:br/>
      </w:r>
      <w:r>
        <w:t xml:space="preserve">This Invoice reflects the specialized expertise provided by a qualified Medical Researcher operating within the vibrant scientific ecosystem of Canada Toronto. The services rendered support critical advancements in healthcare, adhering to the rigorous standards expected of medical professionals in Ontario. All data handling complies with the Personal Information Protection and Electronic Documents Act (PIPEDA).</w:t>
      </w:r>
    </w:p>
    <w:p>
      <w:pPr>
        <w:pStyle w:val="BodyText"/>
      </w:pPr>
      <w:r>
        <w:t xml:space="preserve">Thank you for your business and for supporting high-quality medical research in our community.</w:t>
      </w:r>
    </w:p>
    <w:bookmarkEnd w:id="24"/>
    <w:p>
      <w:pPr>
        <w:pStyle w:val="BodyText"/>
      </w:pPr>
      <w:r>
        <w:t xml:space="preserve">Dr. Elena Vance, PhD | Medical Researcher | Toronto, Ontario, Canada</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dc:title>
  <dc:creator/>
  <dc:language>en</dc:language>
  <cp:keywords/>
  <dcterms:created xsi:type="dcterms:W3CDTF">2026-10-10T04:43:38Z</dcterms:created>
  <dcterms:modified xsi:type="dcterms:W3CDTF">2026-10-10T04:43:38Z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