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biogenetics-research-institute"/>
    <w:p>
      <w:pPr>
        <w:pStyle w:val="Heading1"/>
      </w:pPr>
      <w:r>
        <w:t xml:space="preserve">Shanghai BioGenetics Research Institute</w:t>
      </w:r>
    </w:p>
    <w:p>
      <w:pPr>
        <w:pStyle w:val="FirstParagraph"/>
      </w:pPr>
      <w:r>
        <w:t xml:space="preserve">Registered Address: 1200 Zhangjiang High-Tech Park, Pudong New Area</w:t>
      </w:r>
    </w:p>
    <w:p>
      <w:pPr>
        <w:pStyle w:val="BodyText"/>
      </w:pPr>
      <w:r>
        <w:t xml:space="preserve">Shanghai, China 201203</w:t>
      </w:r>
    </w:p>
    <w:p>
      <w:pPr>
        <w:pStyle w:val="BodyText"/>
      </w:pPr>
      <w:r>
        <w:t xml:space="preserve">Tax ID (Unified Social Credit Code): 91310115MA1K3X7Y8Z</w:t>
      </w:r>
    </w:p>
    <w:p>
      <w:pPr>
        <w:pStyle w:val="BodyText"/>
      </w:pPr>
      <w:r>
        <w:t xml:space="preserve">Contact: billing@shanghaibio.cn | +86 21 5888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Global Pharma Solutions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100 Lujiazui Ring Road, Pudong District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Project Reference: Clinical Trial Phase II - Oncology Division</w:t>
      </w:r>
    </w:p>
    <w:p>
      <w:pPr>
        <w:pStyle w:val="BodyText"/>
      </w:pPr>
      <w:r>
        <w:t xml:space="preserve">Description of Services</w:t>
      </w:r>
    </w:p>
    <w:p>
      <w:pPr>
        <w:pStyle w:val="BodyText"/>
      </w:pPr>
      <w:r>
        <w:t xml:space="preserve">This invoice covers professional consulting and execution services provided by our senior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team located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services rendered include advanced genomic data analysis, regulatory compliance documentation for the National Medical Products Administration (NMPA), and clinical trial coordination within the Shanghai metropolitan area.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Medical Researcher Consultation:</w:t>
            </w:r>
            <w:r>
              <w:t xml:space="preserve"> </w:t>
            </w:r>
            <w:r>
              <w:t xml:space="preserve">Strategic oversight of the Shanghai-based clinical study protocol. Includes weekly review meetings and direct liaison with local hospital partners in Pudong.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Genomic Data Analysis:</w:t>
            </w:r>
            <w:r>
              <w:t xml:space="preserve"> </w:t>
            </w:r>
            <w:r>
              <w:t xml:space="preserve">Processing of patient samples collected in Shanghai. Utilization of high-throughput sequencing data to identify biomarkers relevant to the trial.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Reporting:</w:t>
            </w:r>
            <w:r>
              <w:t xml:space="preserve"> </w:t>
            </w:r>
            <w:r>
              <w:t xml:space="preserve">Preparation of submission documents required by Chinese health authorities. Ensuring all research methodologies meet local ethical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Junior Researcher Support:</w:t>
            </w:r>
            <w:r>
              <w:t xml:space="preserve"> </w:t>
            </w:r>
            <w:r>
              <w:t xml:space="preserve">Assistance with data entry, literature review, and sample labeling at the Shanghai laboratory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 Consumables &amp; Equipment Usage:</w:t>
            </w:r>
            <w:r>
              <w:t xml:space="preserve"> </w:t>
            </w:r>
            <w:r>
              <w:t xml:space="preserve">Allocation of costs for specialized reagents and centrifuge usage specific to the Medical Researcher's workflow.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189,500.00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11,370.00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200,870.00 CNY</w:t>
      </w:r>
    </w:p>
    <w:bookmarkStart w:id="22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Pudong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BioGenetics Research Institute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4523 8899 0011 2233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INV-SH-2023-0892</w:t>
      </w:r>
      <w:r>
        <w:t xml:space="preserve"> </w:t>
      </w:r>
      <w:r>
        <w:t xml:space="preserve">in your payment transfer description. Payment is expected within 30 days of the invoice date. Late payments may incur a penalty fee of 1.5% per month.</w:t>
      </w:r>
    </w:p>
    <w:p>
      <w:pPr>
        <w:pStyle w:val="BodyText"/>
      </w:pPr>
      <w:r>
        <w:t xml:space="preserve">This invoice is issued in accordance with the tax regulations of the People's Republic of China. A formal VAT special invoice (Fapiao) will be issued upon receipt of payment.</w:t>
      </w:r>
    </w:p>
    <w:bookmarkEnd w:id="22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Wei Zhang</w:t>
      </w:r>
    </w:p>
    <w:p>
      <w:pPr>
        <w:pStyle w:val="BodyText"/>
      </w:pPr>
      <w:r>
        <w:t xml:space="preserve">Director of Research Operations</w:t>
      </w:r>
    </w:p>
    <w:p>
      <w:pPr>
        <w:pStyle w:val="BodyText"/>
      </w:pPr>
      <w:r>
        <w:t xml:space="preserve">Shanghai BioGenetics Research Institute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Shanghai BioGenetics Research Institute | 1200 Zhangjiang High-Tech Park, Shanghai, China</w:t>
      </w:r>
    </w:p>
    <w:p>
      <w:pPr>
        <w:pStyle w:val="BodyText"/>
      </w:pPr>
      <w:r>
        <w:t xml:space="preserve">This document is a valid financial record for the services of a Medical Researcher provided in Shanghai.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Shanghai, China</dc:title>
  <dc:creator/>
  <dc:language>en</dc:language>
  <cp:keywords/>
  <dcterms:created xsi:type="dcterms:W3CDTF">2026-10-10T03:53:03Z</dcterms:created>
  <dcterms:modified xsi:type="dcterms:W3CDTF">2026-10-10T03:53:03Z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