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bioinnova-research-solutions"/>
    <w:p>
      <w:pPr>
        <w:pStyle w:val="Heading1"/>
      </w:pPr>
      <w:r>
        <w:t xml:space="preserve">BIOINNOVA RESEARCH SOLUTIONS</w:t>
      </w:r>
    </w:p>
    <w:p>
      <w:pPr>
        <w:pStyle w:val="FirstParagraph"/>
      </w:pPr>
      <w:r>
        <w:t xml:space="preserve">Specialized Medical Research &amp; Clinical Analysis</w:t>
      </w:r>
    </w:p>
    <w:p>
      <w:pPr>
        <w:pStyle w:val="BodyText"/>
      </w:pPr>
      <w:r>
        <w:t xml:space="preserve">Calle 73B #45-12, Oficina 301</w:t>
      </w:r>
    </w:p>
    <w:p>
      <w:pPr>
        <w:pStyle w:val="BodyText"/>
      </w:pPr>
      <w:r>
        <w:t xml:space="preserve">El Poblado, Medellín, Antioquia</w:t>
      </w:r>
    </w:p>
    <w:p>
      <w:pPr>
        <w:pStyle w:val="BodyText"/>
      </w:pPr>
      <w:r>
        <w:t xml:space="preserve">Colombia</w:t>
      </w:r>
    </w:p>
    <w:p>
      <w:pPr>
        <w:pStyle w:val="BodyText"/>
      </w:pPr>
      <w:r>
        <w:t xml:space="preserve">NIT: 900.123.456-7</w:t>
      </w:r>
    </w:p>
    <w:p>
      <w:pPr>
        <w:pStyle w:val="BodyText"/>
      </w:pPr>
      <w:r>
        <w:t xml:space="preserve">Email: billing@bioinnovamedellin.com</w:t>
      </w:r>
    </w:p>
    <w:p>
      <w:pPr>
        <w:pStyle w:val="BodyText"/>
      </w:pPr>
      <w:r>
        <w:t xml:space="preserve">Phone: +57 (4) 555-0198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INV-MED-2024-0892</w:t>
      </w:r>
    </w:p>
    <w:p>
      <w:pPr>
        <w:pStyle w:val="BodyText"/>
      </w:pPr>
      <w:r>
        <w:rPr>
          <w:bCs/>
          <w:b/>
        </w:rPr>
        <w:t xml:space="preserve">Date Issued:</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Pesos (COP)</w:t>
      </w:r>
    </w:p>
    <w:bookmarkEnd w:id="21"/>
    <w:bookmarkStart w:id="22" w:name="bill-to"/>
    <w:p>
      <w:pPr>
        <w:pStyle w:val="Heading3"/>
      </w:pPr>
      <w:r>
        <w:t xml:space="preserve">BILL TO:</w:t>
      </w:r>
    </w:p>
    <w:p>
      <w:pPr>
        <w:pStyle w:val="FirstParagraph"/>
      </w:pPr>
      <w:r>
        <w:rPr>
          <w:bCs/>
          <w:b/>
        </w:rPr>
        <w:t xml:space="preserve">Dr. María Fernanda Restrepo</w:t>
      </w:r>
    </w:p>
    <w:p>
      <w:pPr>
        <w:pStyle w:val="BodyText"/>
      </w:pPr>
      <w:r>
        <w:t xml:space="preserve">Director of Clinical Operations</w:t>
      </w:r>
    </w:p>
    <w:p>
      <w:pPr>
        <w:pStyle w:val="BodyText"/>
      </w:pPr>
      <w:r>
        <w:t xml:space="preserve">Medellín Advanced Biomedical Institute</w:t>
      </w:r>
    </w:p>
    <w:p>
      <w:pPr>
        <w:pStyle w:val="BodyText"/>
      </w:pPr>
      <w:r>
        <w:t xml:space="preserve">Carrera 43A #10-30, Laureles</w:t>
      </w:r>
    </w:p>
    <w:p>
      <w:pPr>
        <w:pStyle w:val="BodyText"/>
      </w:pPr>
      <w:r>
        <w:t xml:space="preserve">Medellín, Antioquia, Colombia</w:t>
      </w:r>
    </w:p>
    <w:p>
      <w:pPr>
        <w:pStyle w:val="BodyText"/>
      </w:pPr>
      <w:r>
        <w:t xml:space="preserve">NIT: 800.987.654-3</w:t>
      </w:r>
    </w:p>
    <w:p>
      <w:pPr>
        <w:pStyle w:val="BodyText"/>
      </w:pPr>
      <w:r>
        <w:t xml:space="preserve">Email: m.restrepo@biomedellin.edu.co</w:t>
      </w:r>
    </w:p>
    <w:bookmarkEnd w:id="22"/>
    <w:p>
      <w:pPr>
        <w:pStyle w:val="BodyText"/>
      </w:pPr>
      <w:r>
        <w:rPr>
          <w:bCs/>
          <w:b/>
        </w:rPr>
        <w:t xml:space="preserve">Service Context:</w:t>
      </w:r>
      <w:r>
        <w:t xml:space="preserve"> </w:t>
      </w:r>
      <w:r>
        <w:t xml:space="preserve">This invoice represents professional services rendered by a qualified Medical Researcher specializing in clinical trial design, epidemiological analysis, and biomedical data interpretation. All services were conducted in accordance with Colombian health regulations (Ministry of Health and Social Protection) and international Good Clinical Practice (GCP) standards within the metropolitan area of Medellín, Colombia.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Hours/Units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rPr>
                <w:bCs/>
                <w:b/>
              </w:rPr>
              <w:t xml:space="preserve">Clinical Trial Protocol Development</w:t>
            </w:r>
            <w:r>
              <w:br/>
            </w:r>
            <w:r>
              <w:t xml:space="preserve">Comprehensive design and documentation of Phase II clinical trial protocol for novel therapeutic intervention. Includes literature review, statistical power analysis, inclusion/exclusion criteria definition, and regulatory compliance assessment per INVIMA guidelines.</w:t>
            </w:r>
          </w:p>
        </w:tc>
        <w:tc>
          <w:tcPr/>
          <w:p>
            <w:pPr>
              <w:pStyle w:val="Compact"/>
              <w:jc w:val="left"/>
            </w:pPr>
            <w:r>
              <w:t xml:space="preserve">40 hrs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Epidemiological Data Analysis</w:t>
            </w:r>
            <w:r>
              <w:br/>
            </w:r>
            <w:r>
              <w:t xml:space="preserve">Advanced statistical analysis of patient cohort data (n=1,200) using R and SPSS software. Includes survival analysis, multivariate regression modeling, and generation of publication-ready visualizations for peer-reviewed journal submission.</w:t>
            </w:r>
          </w:p>
        </w:tc>
        <w:tc>
          <w:tcPr/>
          <w:p>
            <w:pPr>
              <w:pStyle w:val="Compact"/>
              <w:jc w:val="left"/>
            </w:pPr>
            <w:r>
              <w:t xml:space="preserve">35 hrs</w:t>
            </w:r>
          </w:p>
        </w:tc>
        <w:tc>
          <w:tcPr/>
          <w:p>
            <w:pPr>
              <w:pStyle w:val="Compact"/>
              <w:jc w:val="left"/>
            </w:pPr>
            <w:r>
              <w:t xml:space="preserve">250,000</w:t>
            </w:r>
          </w:p>
        </w:tc>
        <w:tc>
          <w:tcPr/>
          <w:p>
            <w:pPr>
              <w:pStyle w:val="Compact"/>
              <w:jc w:val="left"/>
            </w:pPr>
            <w:r>
              <w:t xml:space="preserve">8,750,000</w:t>
            </w:r>
          </w:p>
        </w:tc>
      </w:tr>
      <w:tr>
        <w:tc>
          <w:tcPr/>
          <w:p>
            <w:pPr>
              <w:pStyle w:val="Compact"/>
              <w:jc w:val="left"/>
            </w:pPr>
            <w:r>
              <w:t xml:space="preserve">3</w:t>
            </w:r>
          </w:p>
        </w:tc>
        <w:tc>
          <w:tcPr/>
          <w:p>
            <w:pPr>
              <w:pStyle w:val="Compact"/>
              <w:jc w:val="left"/>
            </w:pPr>
            <w:r>
              <w:rPr>
                <w:bCs/>
                <w:b/>
              </w:rPr>
              <w:t xml:space="preserve">Regulatory Documentation &amp; Compliance Review</w:t>
            </w:r>
            <w:r>
              <w:br/>
            </w:r>
            <w:r>
              <w:t xml:space="preserve">Preparation and review of regulatory submission documents for Colombian Ministry of Health approval. Includes informed consent forms, adverse event reporting procedures, and ethics committee documentation aligned with Resolution 8430 of 2019.</w:t>
            </w:r>
          </w:p>
        </w:tc>
        <w:tc>
          <w:tcPr/>
          <w:p>
            <w:pPr>
              <w:pStyle w:val="Compact"/>
              <w:jc w:val="left"/>
            </w:pPr>
            <w:r>
              <w:t xml:space="preserve">25 hrs</w:t>
            </w:r>
          </w:p>
        </w:tc>
        <w:tc>
          <w:tcPr/>
          <w:p>
            <w:pPr>
              <w:pStyle w:val="Compact"/>
              <w:jc w:val="left"/>
            </w:pPr>
            <w:r>
              <w:t xml:space="preserve">250,000</w:t>
            </w:r>
          </w:p>
        </w:tc>
        <w:tc>
          <w:tcPr/>
          <w:p>
            <w:pPr>
              <w:pStyle w:val="Compact"/>
              <w:jc w:val="left"/>
            </w:pPr>
            <w:r>
              <w:t xml:space="preserve">6,250,000</w:t>
            </w:r>
          </w:p>
        </w:tc>
      </w:tr>
      <w:tr>
        <w:tc>
          <w:tcPr/>
          <w:p>
            <w:pPr>
              <w:pStyle w:val="Compact"/>
              <w:jc w:val="left"/>
            </w:pPr>
            <w:r>
              <w:t xml:space="preserve">4</w:t>
            </w:r>
          </w:p>
        </w:tc>
        <w:tc>
          <w:tcPr/>
          <w:p>
            <w:pPr>
              <w:pStyle w:val="Compact"/>
              <w:jc w:val="left"/>
            </w:pPr>
            <w:r>
              <w:rPr>
                <w:bCs/>
                <w:b/>
              </w:rPr>
              <w:t xml:space="preserve">Scientific Manuscript Preparation</w:t>
            </w:r>
            <w:r>
              <w:br/>
            </w:r>
            <w:r>
              <w:t xml:space="preserve">Drafting and editing of research manuscript for submission to international medical journal. Includes abstract development, methodology section refinement, results interpretation, and response to reviewer comments.</w:t>
            </w:r>
          </w:p>
        </w:tc>
        <w:tc>
          <w:tcPr/>
          <w:p>
            <w:pPr>
              <w:pStyle w:val="Compact"/>
              <w:jc w:val="left"/>
            </w:pPr>
            <w:r>
              <w:t xml:space="preserve">20 hrs</w:t>
            </w:r>
          </w:p>
        </w:tc>
        <w:tc>
          <w:tcPr/>
          <w:p>
            <w:pPr>
              <w:pStyle w:val="Compact"/>
              <w:jc w:val="left"/>
            </w:pPr>
            <w:r>
              <w:t xml:space="preserve">250,000</w:t>
            </w:r>
          </w:p>
        </w:tc>
        <w:tc>
          <w:tcPr/>
          <w:p>
            <w:pPr>
              <w:pStyle w:val="Compact"/>
              <w:jc w:val="left"/>
            </w:pPr>
            <w:r>
              <w:t xml:space="preserve">5,000,000</w:t>
            </w:r>
          </w:p>
        </w:tc>
      </w:tr>
      <w:tr>
        <w:tc>
          <w:tcPr/>
          <w:p>
            <w:pPr>
              <w:pStyle w:val="Compact"/>
              <w:jc w:val="left"/>
            </w:pPr>
            <w:r>
              <w:t xml:space="preserve">5</w:t>
            </w:r>
          </w:p>
        </w:tc>
        <w:tc>
          <w:tcPr/>
          <w:p>
            <w:pPr>
              <w:pStyle w:val="Compact"/>
              <w:jc w:val="left"/>
            </w:pPr>
            <w:r>
              <w:rPr>
                <w:bCs/>
                <w:b/>
              </w:rPr>
              <w:t xml:space="preserve">Research Team Training &amp; Consultation</w:t>
            </w:r>
            <w:r>
              <w:br/>
            </w:r>
            <w:r>
              <w:t xml:space="preserve">On-site training sessions for research coordinators and clinical staff at Medellín Advanced Biomedical Institute. Topics include GCP compliance, data collection standardization, and patient safety monitoring protocols.</w:t>
            </w:r>
          </w:p>
        </w:tc>
        <w:tc>
          <w:tcPr/>
          <w:p>
            <w:pPr>
              <w:pStyle w:val="Compact"/>
              <w:jc w:val="left"/>
            </w:pPr>
            <w:r>
              <w:t xml:space="preserve">15 hrs</w:t>
            </w:r>
          </w:p>
        </w:tc>
        <w:tc>
          <w:tcPr/>
          <w:p>
            <w:pPr>
              <w:pStyle w:val="Compact"/>
              <w:jc w:val="left"/>
            </w:pPr>
            <w:r>
              <w:t xml:space="preserve">250,000</w:t>
            </w:r>
          </w:p>
        </w:tc>
        <w:tc>
          <w:tcPr/>
          <w:p>
            <w:pPr>
              <w:pStyle w:val="Compact"/>
              <w:jc w:val="left"/>
            </w:pPr>
            <w:r>
              <w:t xml:space="preserve">3,750,000</w:t>
            </w:r>
          </w:p>
        </w:tc>
      </w:tr>
      <w:tr>
        <w:tc>
          <w:tcPr/>
          <w:p>
            <w:pPr>
              <w:pStyle w:val="Compact"/>
              <w:jc w:val="left"/>
            </w:pPr>
            <w:r>
              <w:t xml:space="preserve">6</w:t>
            </w:r>
          </w:p>
        </w:tc>
        <w:tc>
          <w:tcPr/>
          <w:p>
            <w:pPr>
              <w:pStyle w:val="Compact"/>
              <w:jc w:val="left"/>
            </w:pPr>
            <w:r>
              <w:rPr>
                <w:bCs/>
                <w:b/>
              </w:rPr>
              <w:t xml:space="preserve">Biostatistical Software Licensing &amp; Tools</w:t>
            </w:r>
            <w:r>
              <w:br/>
            </w:r>
            <w:r>
              <w:t xml:space="preserve">Provision of specialized statistical software licenses and data management tools required for research project execution during the billing period.</w:t>
            </w:r>
          </w:p>
        </w:tc>
        <w:tc>
          <w:tcPr/>
          <w:p>
            <w:pPr>
              <w:pStyle w:val="Compact"/>
              <w:jc w:val="left"/>
            </w:pPr>
            <w:r>
              <w:t xml:space="preserve">1 unit</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COP 36,250,000</w:t>
      </w:r>
    </w:p>
    <w:p>
      <w:pPr>
        <w:pStyle w:val="BodyText"/>
      </w:pPr>
      <w:r>
        <w:t xml:space="preserve">VAT (IVA) 19%:</w:t>
      </w:r>
      <w:r>
        <w:t xml:space="preserve"> </w:t>
      </w:r>
      <w:r>
        <w:t xml:space="preserve">COP 6,887,500</w:t>
      </w:r>
    </w:p>
    <w:p>
      <w:pPr>
        <w:pStyle w:val="BodyText"/>
      </w:pPr>
      <w:r>
        <w:t xml:space="preserve">Withholding Tax (Retención en la Fuente) 4%:</w:t>
      </w:r>
      <w:r>
        <w:t xml:space="preserve"> </w:t>
      </w:r>
      <w:r>
        <w:t xml:space="preserve">-COP 1,450,000</w:t>
      </w:r>
    </w:p>
    <w:p>
      <w:pPr>
        <w:pStyle w:val="BodyText"/>
      </w:pPr>
      <w:r>
        <w:t xml:space="preserve">TOTAL AMOUNT DUE:</w:t>
      </w:r>
      <w:r>
        <w:t xml:space="preserve"> </w:t>
      </w:r>
      <w:r>
        <w:t xml:space="preserve">COP 41,687,500</w:t>
      </w:r>
    </w:p>
    <w:bookmarkStart w:id="23" w:name="payment-instructions-terms"/>
    <w:p>
      <w:pPr>
        <w:pStyle w:val="Heading3"/>
      </w:pPr>
      <w:r>
        <w:t xml:space="preserve">Payment Instructions &amp; Terms:</w:t>
      </w:r>
    </w:p>
    <w:p>
      <w:pPr>
        <w:pStyle w:val="FirstParagraph"/>
      </w:pPr>
      <w:r>
        <w:rPr>
          <w:bCs/>
          <w:b/>
        </w:rPr>
        <w:t xml:space="preserve">Bank Transfer Details:</w:t>
      </w:r>
    </w:p>
    <w:p>
      <w:pPr>
        <w:pStyle w:val="BodyText"/>
      </w:pPr>
      <w:r>
        <w:t xml:space="preserve">Bank: Bancolombia</w:t>
      </w:r>
    </w:p>
    <w:p>
      <w:pPr>
        <w:pStyle w:val="BodyText"/>
      </w:pPr>
      <w:r>
        <w:t xml:space="preserve">Account Name: BIOINNOVA RESEARCH SOLUTIONS S.A.S.</w:t>
      </w:r>
    </w:p>
    <w:p>
      <w:pPr>
        <w:pStyle w:val="BodyText"/>
      </w:pPr>
      <w:r>
        <w:t xml:space="preserve">Account Number: 123-456789-00</w:t>
      </w:r>
    </w:p>
    <w:p>
      <w:pPr>
        <w:pStyle w:val="BodyText"/>
      </w:pPr>
      <w:r>
        <w:t xml:space="preserve">Branch: Medellín El Poblado</w:t>
      </w:r>
    </w:p>
    <w:p>
      <w:pPr>
        <w:pStyle w:val="BodyText"/>
      </w:pPr>
      <w:r>
        <w:t xml:space="preserve">Reference: INV-MED-2024-0892</w:t>
      </w:r>
    </w:p>
    <w:p>
      <w:pPr>
        <w:pStyle w:val="BodyText"/>
      </w:pPr>
      <w:r>
        <w:rPr>
          <w:bCs/>
          <w:b/>
        </w:rPr>
        <w:t xml:space="preserve">Important Notes:</w:t>
      </w:r>
    </w:p>
    <w:p>
      <w:pPr>
        <w:pStyle w:val="BodyText"/>
      </w:pPr>
      <w:r>
        <w:t xml:space="preserve">1. Payment is due within 30 days of invoice date as per Colombian commercial law.</w:t>
      </w:r>
    </w:p>
    <w:p>
      <w:pPr>
        <w:pStyle w:val="BodyText"/>
      </w:pPr>
      <w:r>
        <w:t xml:space="preserve">2. Late payments will incur interest at the legal rate established by the Superintendencia Financiera de Colombia.</w:t>
      </w:r>
    </w:p>
    <w:p>
      <w:pPr>
        <w:pStyle w:val="BodyText"/>
      </w:pPr>
      <w:r>
        <w:t xml:space="preserve">3. All services were performed by a certified Medical Researcher with expertise in clinical research methodologies applicable to the healthcare landscape of Medellín and Colombia.</w:t>
      </w:r>
    </w:p>
    <w:p>
      <w:pPr>
        <w:pStyle w:val="BodyText"/>
      </w:pPr>
      <w:r>
        <w:t xml:space="preserve">4. This invoice complies with DIAN (Dirección de Impuestos y Aduanas Nacionales) requirements for electronic invoicing in Colombia.</w:t>
      </w:r>
    </w:p>
    <w:p>
      <w:pPr>
        <w:pStyle w:val="BodyText"/>
      </w:pPr>
      <w:r>
        <w:t xml:space="preserve">5. For questions regarding this invoice, please contact our billing department at billing@bioinnovamedellin.com or call +57 (4) 555-0198.</w:t>
      </w:r>
    </w:p>
    <w:p>
      <w:pPr>
        <w:pStyle w:val="BodyText"/>
      </w:pPr>
      <w:r>
        <w:t xml:space="preserve">6. Retención en la Fuente has been calculated according to current Colombian tax regulations for professional services.</w:t>
      </w:r>
    </w:p>
    <w:bookmarkEnd w:id="23"/>
    <w:p>
      <w:pPr>
        <w:pStyle w:val="BodyText"/>
      </w:pPr>
      <w:r>
        <w:t xml:space="preserve">BIOINNOVA RESEARCH SOLUTIONS S.A.S. | NIT: 900.123.456-7 | Medellín, Antioquia, Colombia</w:t>
      </w:r>
    </w:p>
    <w:p>
      <w:pPr>
        <w:pStyle w:val="BodyText"/>
      </w:pPr>
      <w:r>
        <w:t xml:space="preserve">This document is a valid electronic invoice issued in accordance with Colombian tax regulations.</w:t>
      </w:r>
    </w:p>
    <w:p>
      <w:pPr>
        <w:pStyle w:val="BodyText"/>
      </w:pPr>
      <w:r>
        <w:t xml:space="preserve">Thank you for your business and trust in our Medical Researcher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2026-10-10T03:55:13Z</dcterms:created>
  <dcterms:modified xsi:type="dcterms:W3CDTF">2026-10-10T03:55:13Z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