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berlin-clinical-research-institute"/>
    <w:p>
      <w:pPr>
        <w:pStyle w:val="Heading1"/>
      </w:pPr>
      <w:r>
        <w:t xml:space="preserve">Berlin Clinical Research Institute</w:t>
      </w:r>
    </w:p>
    <w:p>
      <w:pPr>
        <w:pStyle w:val="FirstParagraph"/>
      </w:pPr>
      <w:r>
        <w:rPr>
          <w:bCs/>
          <w:b/>
        </w:rPr>
        <w:t xml:space="preserve">Provider of Specialized Medical Researcher Services</w:t>
      </w:r>
    </w:p>
    <w:p>
      <w:pPr>
        <w:pStyle w:val="BodyText"/>
      </w:pPr>
      <w:r>
        <w:t xml:space="preserve">Wissenschaftspark Berlin, Robert-Rössle-Str. 10</w:t>
      </w:r>
    </w:p>
    <w:p>
      <w:pPr>
        <w:pStyle w:val="BodyText"/>
      </w:pPr>
      <w:r>
        <w:t xml:space="preserve">13125 Berlin, Germany</w:t>
      </w:r>
    </w:p>
    <w:p>
      <w:pPr>
        <w:pStyle w:val="BodyText"/>
      </w:pPr>
      <w:r>
        <w:t xml:space="preserve">Tax ID (Steuernummer): 27/601/00000</w:t>
      </w:r>
    </w:p>
    <w:p>
      <w:pPr>
        <w:pStyle w:val="BodyText"/>
      </w:pPr>
      <w:r>
        <w:t xml:space="preserve">VAT ID (USt-IdNr.): DE123456789</w:t>
      </w:r>
    </w:p>
    <w:p>
      <w:pPr>
        <w:pStyle w:val="BodyText"/>
      </w:pPr>
      <w:r>
        <w:t xml:space="preserve">Email: billing@berlinclinicalresearch.de</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INV-2023-BER-0892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Charité – Universitätsmedizin Berlin</w:t>
      </w:r>
    </w:p>
    <w:p>
      <w:pPr>
        <w:pStyle w:val="BodyText"/>
      </w:pPr>
      <w:r>
        <w:t xml:space="preserve">Department of Clinical Trials &amp; Biostatistics</w:t>
      </w:r>
    </w:p>
    <w:p>
      <w:pPr>
        <w:pStyle w:val="BodyText"/>
      </w:pPr>
      <w:r>
        <w:t xml:space="preserve">Augustenburger Platz 1</w:t>
      </w:r>
    </w:p>
    <w:p>
      <w:pPr>
        <w:pStyle w:val="BodyText"/>
      </w:pPr>
      <w:r>
        <w:t xml:space="preserve">13353 Berlin, Germany</w:t>
      </w:r>
    </w:p>
    <w:p>
      <w:pPr>
        <w:pStyle w:val="BodyText"/>
      </w:pPr>
      <w:r>
        <w:t xml:space="preserve">Attn: Procurement Department</w:t>
      </w:r>
    </w:p>
    <w:bookmarkEnd w:id="22"/>
    <w:bookmarkStart w:id="23" w:name="project-reference"/>
    <w:p>
      <w:pPr>
        <w:pStyle w:val="Heading3"/>
      </w:pPr>
      <w:r>
        <w:t xml:space="preserve">Project Reference:</w:t>
      </w:r>
    </w:p>
    <w:p>
      <w:pPr>
        <w:pStyle w:val="FirstParagraph"/>
      </w:pPr>
      <w:r>
        <w:rPr>
          <w:bCs/>
          <w:b/>
        </w:rPr>
        <w:t xml:space="preserve">Project ID:</w:t>
      </w:r>
      <w:r>
        <w:t xml:space="preserve"> </w:t>
      </w:r>
      <w:r>
        <w:t xml:space="preserve">BER-MED-2023-ONCO</w:t>
      </w:r>
    </w:p>
    <w:p>
      <w:pPr>
        <w:pStyle w:val="BodyText"/>
      </w:pPr>
      <w:r>
        <w:rPr>
          <w:bCs/>
          <w:b/>
        </w:rPr>
        <w:t xml:space="preserve">Subject:</w:t>
      </w:r>
      <w:r>
        <w:t xml:space="preserve"> </w:t>
      </w:r>
      <w:r>
        <w:t xml:space="preserve">Advanced Oncology Data Analysis &amp; Clinical Protocol Development</w:t>
      </w:r>
    </w:p>
    <w:p>
      <w:pPr>
        <w:pStyle w:val="BodyText"/>
      </w:pPr>
      <w:r>
        <w:rPr>
          <w:bCs/>
          <w:b/>
        </w:rPr>
        <w:t xml:space="preserve">Location:</w:t>
      </w:r>
      <w:r>
        <w:t xml:space="preserve"> </w:t>
      </w:r>
      <w:r>
        <w:t xml:space="preserve">Berlin, Germany</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Medical Researcher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Senior Medical Researcher Consultation:</w:t>
            </w:r>
            <w:r>
              <w:t xml:space="preserve"> </w:t>
            </w:r>
            <w:r>
              <w:t xml:space="preserve">Comprehensive review of clinical trial protocols for Phase III oncology studies. This service includes rigorous assessment of inclusion/exclusion criteria, endpoint selection, and statistical power calculations to ensure compliance with German Medical Device Regulation (MDR) and EU Clinical Trial Regulation (CTR).</w:t>
            </w:r>
          </w:p>
        </w:tc>
        <w:tc>
          <w:tcPr/>
          <w:p>
            <w:pPr>
              <w:pStyle w:val="Compact"/>
              <w:jc w:val="left"/>
            </w:pPr>
            <w:r>
              <w:t xml:space="preserve">40.0</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Biostatistical Data Analysis:</w:t>
            </w:r>
            <w:r>
              <w:t xml:space="preserve"> </w:t>
            </w:r>
            <w:r>
              <w:t xml:space="preserve">Execution of complex statistical modeling using R and SAS software to analyze patient cohort data collected in Berlin. Includes survival analysis, hazard ratio calculations, and generation of publication-ready graphs and tables for peer-reviewed medical journals.</w:t>
            </w:r>
          </w:p>
        </w:tc>
        <w:tc>
          <w:tcPr/>
          <w:p>
            <w:pPr>
              <w:pStyle w:val="Compact"/>
              <w:jc w:val="left"/>
            </w:pPr>
            <w:r>
              <w:t xml:space="preserve">60.0</w:t>
            </w:r>
          </w:p>
        </w:tc>
        <w:tc>
          <w:tcPr/>
          <w:p>
            <w:pPr>
              <w:pStyle w:val="Compact"/>
              <w:jc w:val="left"/>
            </w:pPr>
            <w:r>
              <w:t xml:space="preserve">165.00</w:t>
            </w:r>
          </w:p>
        </w:tc>
        <w:tc>
          <w:tcPr/>
          <w:p>
            <w:pPr>
              <w:pStyle w:val="Compact"/>
              <w:jc w:val="left"/>
            </w:pPr>
            <w:r>
              <w:t xml:space="preserve">9,900.00</w:t>
            </w:r>
          </w:p>
        </w:tc>
      </w:tr>
      <w:tr>
        <w:tc>
          <w:tcPr/>
          <w:p>
            <w:pPr>
              <w:pStyle w:val="Compact"/>
              <w:jc w:val="left"/>
            </w:pPr>
            <w:r>
              <w:t xml:space="preserve">3</w:t>
            </w:r>
          </w:p>
        </w:tc>
        <w:tc>
          <w:tcPr/>
          <w:p>
            <w:pPr>
              <w:pStyle w:val="Compact"/>
              <w:jc w:val="left"/>
            </w:pPr>
            <w:r>
              <w:rPr>
                <w:bCs/>
                <w:b/>
              </w:rPr>
              <w:t xml:space="preserve">Regulatory Compliance Documentation:</w:t>
            </w:r>
            <w:r>
              <w:t xml:space="preserve"> </w:t>
            </w:r>
            <w:r>
              <w:t xml:space="preserve">Preparation of Investigator Brochures and Informed Consent Forms tailored to the specific legal requirements of the Berlin Charité ethics committee. Ensures all documentation meets the strict ethical standards required for medical research in Germany.</w:t>
            </w:r>
          </w:p>
        </w:tc>
        <w:tc>
          <w:tcPr/>
          <w:p>
            <w:pPr>
              <w:pStyle w:val="Compact"/>
              <w:jc w:val="left"/>
            </w:pPr>
            <w:r>
              <w:t xml:space="preserve">25.0</w:t>
            </w:r>
          </w:p>
        </w:tc>
        <w:tc>
          <w:tcPr/>
          <w:p>
            <w:pPr>
              <w:pStyle w:val="Compact"/>
              <w:jc w:val="left"/>
            </w:pPr>
            <w:r>
              <w:t xml:space="preserve">175.00</w:t>
            </w:r>
          </w:p>
        </w:tc>
        <w:tc>
          <w:tcPr/>
          <w:p>
            <w:pPr>
              <w:pStyle w:val="Compact"/>
              <w:jc w:val="left"/>
            </w:pPr>
            <w:r>
              <w:t xml:space="preserve">4,375.00</w:t>
            </w:r>
          </w:p>
        </w:tc>
      </w:tr>
      <w:tr>
        <w:tc>
          <w:tcPr/>
          <w:p>
            <w:pPr>
              <w:pStyle w:val="Compact"/>
              <w:jc w:val="left"/>
            </w:pPr>
            <w:r>
              <w:t xml:space="preserve">4</w:t>
            </w:r>
          </w:p>
        </w:tc>
        <w:tc>
          <w:tcPr/>
          <w:p>
            <w:pPr>
              <w:pStyle w:val="Compact"/>
              <w:jc w:val="left"/>
            </w:pPr>
            <w:r>
              <w:rPr>
                <w:bCs/>
                <w:b/>
              </w:rPr>
              <w:t xml:space="preserve">Medical Literature Review:</w:t>
            </w:r>
            <w:r>
              <w:t xml:space="preserve"> </w:t>
            </w:r>
            <w:r>
              <w:t xml:space="preserve">Systematic review of current literature regarding targeted immunotherapy. The Medical Researcher conducted a meta-analysis of 150+ recent studies to support the hypothesis of the ongoing Berlin-based clinical trial.</w:t>
            </w:r>
          </w:p>
        </w:tc>
        <w:tc>
          <w:tcPr/>
          <w:p>
            <w:pPr>
              <w:pStyle w:val="Compact"/>
              <w:jc w:val="left"/>
            </w:pPr>
            <w:r>
              <w:t xml:space="preserve">30.0</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5</w:t>
            </w:r>
          </w:p>
        </w:tc>
        <w:tc>
          <w:tcPr/>
          <w:p>
            <w:pPr>
              <w:pStyle w:val="Compact"/>
              <w:jc w:val="left"/>
            </w:pPr>
            <w:r>
              <w:rPr>
                <w:bCs/>
                <w:b/>
              </w:rPr>
              <w:t xml:space="preserve">Project Management &amp; Coordination:</w:t>
            </w:r>
            <w:r>
              <w:t xml:space="preserve"> </w:t>
            </w:r>
            <w:r>
              <w:t xml:space="preserve">Oversight of the research timeline, coordination with laboratory staff in Berlin, and management of data integrity protocols to ensure GDPR compliance for all patient data processed during the study.</w:t>
            </w:r>
          </w:p>
        </w:tc>
        <w:tc>
          <w:tcPr/>
          <w:p>
            <w:pPr>
              <w:pStyle w:val="Compact"/>
              <w:jc w:val="left"/>
            </w:pPr>
            <w:r>
              <w:t xml:space="preserve">20.0</w:t>
            </w:r>
          </w:p>
        </w:tc>
        <w:tc>
          <w:tcPr/>
          <w:p>
            <w:pPr>
              <w:pStyle w:val="Compact"/>
              <w:jc w:val="left"/>
            </w:pPr>
            <w:r>
              <w:t xml:space="preserve">160.00</w:t>
            </w:r>
          </w:p>
        </w:tc>
        <w:tc>
          <w:tcPr/>
          <w:p>
            <w:pPr>
              <w:pStyle w:val="Compact"/>
              <w:jc w:val="left"/>
            </w:pPr>
            <w:r>
              <w:t xml:space="preserve">3,200.00</w:t>
            </w:r>
          </w:p>
        </w:tc>
      </w:tr>
    </w:tbl>
    <w:p>
      <w:pPr>
        <w:pStyle w:val="BodyText"/>
      </w:pPr>
      <w:r>
        <w:t xml:space="preserve">Subtotal:</w:t>
      </w:r>
      <w:r>
        <w:t xml:space="preserve"> </w:t>
      </w:r>
      <w:r>
        <w:t xml:space="preserve">29,175.00 EUR</w:t>
      </w:r>
    </w:p>
    <w:p>
      <w:pPr>
        <w:pStyle w:val="BodyText"/>
      </w:pPr>
      <w:r>
        <w:t xml:space="preserve">VAT (19% - Standard Rate Germany):</w:t>
      </w:r>
      <w:r>
        <w:t xml:space="preserve"> </w:t>
      </w:r>
      <w:r>
        <w:t xml:space="preserve">5,543.25 EUR</w:t>
      </w:r>
    </w:p>
    <w:p>
      <w:pPr>
        <w:pStyle w:val="BodyText"/>
      </w:pPr>
      <w:r>
        <w:t xml:space="preserve">Total Due:</w:t>
      </w:r>
      <w:r>
        <w:t xml:space="preserve"> </w:t>
      </w:r>
      <w:r>
        <w:t xml:space="preserve">34,718.25 EUR</w:t>
      </w:r>
    </w:p>
    <w:bookmarkStart w:id="24" w:name="payment-instructions"/>
    <w:p>
      <w:pPr>
        <w:pStyle w:val="Heading4"/>
      </w:pPr>
      <w:r>
        <w:t xml:space="preserve">Payment Instructions</w:t>
      </w:r>
    </w:p>
    <w:p>
      <w:pPr>
        <w:pStyle w:val="FirstParagraph"/>
      </w:pPr>
      <w:r>
        <w:t xml:space="preserve">Please transfer the total amount of</w:t>
      </w:r>
      <w:r>
        <w:t xml:space="preserve"> </w:t>
      </w:r>
      <w:r>
        <w:rPr>
          <w:bCs/>
          <w:b/>
        </w:rPr>
        <w:t xml:space="preserve">34,718.25 EUR</w:t>
      </w:r>
      <w:r>
        <w:t xml:space="preserve"> </w:t>
      </w:r>
      <w:r>
        <w:t xml:space="preserve">to the following bank account within 30 days of the invoice date:</w:t>
      </w:r>
    </w:p>
    <w:p>
      <w:pPr>
        <w:pStyle w:val="BodyText"/>
      </w:pPr>
      <w:r>
        <w:rPr>
          <w:bCs/>
          <w:b/>
        </w:rPr>
        <w:t xml:space="preserve">Bank Name:</w:t>
      </w:r>
      <w:r>
        <w:t xml:space="preserve"> </w:t>
      </w:r>
      <w:r>
        <w:t xml:space="preserve">Deutsche Bank AG Berlin</w:t>
      </w:r>
      <w:r>
        <w:br/>
      </w:r>
      <w:r>
        <w:rPr>
          <w:bCs/>
          <w:b/>
        </w:rPr>
        <w:t xml:space="preserve">Account Holder:</w:t>
      </w:r>
      <w:r>
        <w:t xml:space="preserve"> </w:t>
      </w:r>
      <w:r>
        <w:t xml:space="preserve">Berlin Clinical Research Institute GmbH</w:t>
      </w:r>
      <w:r>
        <w:br/>
      </w:r>
      <w:r>
        <w:rPr>
          <w:bCs/>
          <w:b/>
        </w:rPr>
        <w:t xml:space="preserve">IBAN:</w:t>
      </w:r>
      <w:r>
        <w:t xml:space="preserve"> </w:t>
      </w:r>
      <w:r>
        <w:t xml:space="preserve">DE89 3704 0044 0532 0130 00</w:t>
      </w:r>
      <w:r>
        <w:br/>
      </w:r>
      <w:r>
        <w:rPr>
          <w:bCs/>
          <w:b/>
        </w:rPr>
        <w:t xml:space="preserve">BIC:</w:t>
      </w:r>
      <w:r>
        <w:t xml:space="preserve"> </w:t>
      </w:r>
      <w:r>
        <w:t xml:space="preserve">DEUTDEDBBER</w:t>
      </w:r>
      <w:r>
        <w:br/>
      </w:r>
      <w:r>
        <w:rPr>
          <w:bCs/>
          <w:b/>
        </w:rPr>
        <w:t xml:space="preserve">Reference:</w:t>
      </w:r>
      <w:r>
        <w:t xml:space="preserve"> </w:t>
      </w:r>
      <w:r>
        <w:t xml:space="preserve">INV-2023-BER-0892</w:t>
      </w:r>
    </w:p>
    <w:p>
      <w:pPr>
        <w:pStyle w:val="BodyText"/>
      </w:pPr>
      <w:r>
        <w:rPr>
          <w:iCs/>
          <w:i/>
        </w:rPr>
        <w:t xml:space="preserve">Note: Please include the invoice number in the payment reference to ensure correct allocation of funds.</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the professional services rendered by our certified Medical Researchers as detailed above. All work was performed in accordance with the highest standards of medical research ethics and scientific integrity.</w:t>
      </w:r>
      <w:r>
        <w:br/>
      </w:r>
      <w:r>
        <w:t xml:space="preserve">2.</w:t>
      </w:r>
      <w:r>
        <w:t xml:space="preserve"> </w:t>
      </w:r>
      <w:r>
        <w:rPr>
          <w:bCs/>
          <w:b/>
        </w:rPr>
        <w:t xml:space="preserve">Payment Terms:</w:t>
      </w:r>
      <w:r>
        <w:t xml:space="preserve"> </w:t>
      </w:r>
      <w:r>
        <w:t xml:space="preserve">Payment is due within 30 days of the invoice date. Late payments will incur interest at the statutory rate applicable in Germany (currently 5 percentage points above the base rate).</w:t>
      </w:r>
      <w:r>
        <w:br/>
      </w:r>
      <w:r>
        <w:t xml:space="preserve">3.</w:t>
      </w:r>
      <w:r>
        <w:t xml:space="preserve"> </w:t>
      </w:r>
      <w:r>
        <w:rPr>
          <w:bCs/>
          <w:b/>
        </w:rPr>
        <w:t xml:space="preserve">Confidentiality:</w:t>
      </w:r>
      <w:r>
        <w:t xml:space="preserve"> </w:t>
      </w:r>
      <w:r>
        <w:t xml:space="preserve">All data and findings generated during this engagement remain the property of the client, subject to the confidentiality agreements signed prior to the commencement of the project.</w:t>
      </w:r>
      <w:r>
        <w:br/>
      </w:r>
      <w:r>
        <w:t xml:space="preserve">4.</w:t>
      </w:r>
      <w:r>
        <w:t xml:space="preserve"> </w:t>
      </w:r>
      <w:r>
        <w:rPr>
          <w:bCs/>
          <w:b/>
        </w:rPr>
        <w:t xml:space="preserve">Dispute Resolution:</w:t>
      </w:r>
      <w:r>
        <w:t xml:space="preserve"> </w:t>
      </w:r>
      <w:r>
        <w:t xml:space="preserve">Any disputes arising from this invoice shall be resolved through negotiation. If unresolved, the courts of Berlin, Germany, shall have exclusive jurisdiction.</w:t>
      </w:r>
      <w:r>
        <w:br/>
      </w:r>
      <w:r>
        <w:t xml:space="preserve">5.</w:t>
      </w:r>
      <w:r>
        <w:t xml:space="preserve"> </w:t>
      </w:r>
      <w:r>
        <w:rPr>
          <w:bCs/>
          <w:b/>
        </w:rPr>
        <w:t xml:space="preserve">Validity:</w:t>
      </w:r>
      <w:r>
        <w:t xml:space="preserve"> </w:t>
      </w:r>
      <w:r>
        <w:t xml:space="preserve">This invoice is valid for the financial year 2023 and complies with the German Commercial Code (HGB) and Fiscal Code (AO).</w:t>
      </w:r>
    </w:p>
    <w:bookmarkEnd w:id="25"/>
    <w:p>
      <w:pPr>
        <w:pStyle w:val="BodyText"/>
      </w:pPr>
      <w:r>
        <w:t xml:space="preserve">Thank you for your business. We appreciate your trust in our Medical Researcher services.</w:t>
      </w:r>
    </w:p>
    <w:p>
      <w:pPr>
        <w:pStyle w:val="BodyText"/>
      </w:pPr>
      <w:r>
        <w:t xml:space="preserve">Berlin Clinical Research Institute GmbH | Registered in Berlin | HRB 123456 B</w:t>
      </w:r>
    </w:p>
    <w:p>
      <w:pPr>
        <w:pStyle w:val="BodyText"/>
      </w:pPr>
      <w:r>
        <w:t xml:space="preserve">Managing Director: Dr. Hans Müller | VAT ID: DE123456789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Berlin, Germany</dc:title>
  <dc:creator/>
  <dc:language>en</dc:language>
  <cp:keywords/>
  <dcterms:created xsi:type="dcterms:W3CDTF">2026-10-10T03:48:11Z</dcterms:created>
  <dcterms:modified xsi:type="dcterms:W3CDTF">2026-10-10T03:48:11Z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