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Baghdad,</w:t>
      </w:r>
      <w:r>
        <w:t xml:space="preserve"> </w:t>
      </w:r>
      <w:r>
        <w:t xml:space="preserve">Iraq</w:t>
      </w:r>
    </w:p>
    <w:bookmarkStart w:id="20" w:name="X7fcc8424602aeb5481d1f30036402ce99e36cfd"/>
    <w:p>
      <w:pPr>
        <w:pStyle w:val="Heading1"/>
      </w:pPr>
      <w:r>
        <w:t xml:space="preserve">Baghdad Advanced Medical Research Institute</w:t>
      </w:r>
    </w:p>
    <w:p>
      <w:pPr>
        <w:pStyle w:val="FirstParagraph"/>
      </w:pPr>
      <w:r>
        <w:rPr>
          <w:bCs/>
          <w:b/>
        </w:rPr>
        <w:t xml:space="preserve">Lead Medical Researcher:</w:t>
      </w:r>
      <w:r>
        <w:t xml:space="preserve"> </w:t>
      </w:r>
      <w:r>
        <w:t xml:space="preserve">Dr. Ahmed Al-Farsi</w:t>
      </w:r>
    </w:p>
    <w:p>
      <w:pPr>
        <w:pStyle w:val="BodyText"/>
      </w:pPr>
      <w:r>
        <w:t xml:space="preserve">Al-Karrada District, Al-Rasheed Street</w:t>
      </w:r>
    </w:p>
    <w:p>
      <w:pPr>
        <w:pStyle w:val="BodyText"/>
      </w:pPr>
      <w:r>
        <w:t xml:space="preserve">Baghdad, Iraq</w:t>
      </w:r>
    </w:p>
    <w:p>
      <w:pPr>
        <w:pStyle w:val="BodyText"/>
      </w:pPr>
      <w:r>
        <w:t xml:space="preserve">Email: research@bamri-iraq.org</w:t>
      </w:r>
    </w:p>
    <w:p>
      <w:pPr>
        <w:pStyle w:val="BodyText"/>
      </w:pPr>
      <w:r>
        <w:t xml:space="preserve">Phone: +964 770 123 4567</w:t>
      </w:r>
    </w:p>
    <w:p>
      <w:pPr>
        <w:pStyle w:val="BodyText"/>
      </w:pPr>
      <w:r>
        <w:t xml:space="preserve">Tax ID: IQ-9988776655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#INV-2023-BG-045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Epidemiological Study - Phase II</w:t>
      </w:r>
    </w:p>
    <w:bookmarkEnd w:id="21"/>
    <w:bookmarkStart w:id="22" w:name="bill-to"/>
    <w:p>
      <w:pPr>
        <w:pStyle w:val="Heading3"/>
      </w:pPr>
      <w:r>
        <w:t xml:space="preserve">Bill To:</w:t>
      </w:r>
    </w:p>
    <w:p>
      <w:pPr>
        <w:pStyle w:val="FirstParagraph"/>
      </w:pPr>
      <w:r>
        <w:rPr>
          <w:bCs/>
          <w:b/>
        </w:rPr>
        <w:t xml:space="preserve">Ministry of Health - Research &amp; Development Division</w:t>
      </w:r>
    </w:p>
    <w:p>
      <w:pPr>
        <w:pStyle w:val="BodyText"/>
      </w:pPr>
      <w:r>
        <w:t xml:space="preserve">Al-Jadriya District, Ministry Complex</w:t>
      </w:r>
    </w:p>
    <w:p>
      <w:pPr>
        <w:pStyle w:val="BodyText"/>
      </w:pPr>
      <w:r>
        <w:t xml:space="preserve">Baghdad, Iraq</w:t>
      </w:r>
    </w:p>
    <w:p>
      <w:pPr>
        <w:pStyle w:val="BodyText"/>
      </w:pPr>
      <w:r>
        <w:t xml:space="preserve">Attn: Procurement Department</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Medical Research Services</w:t>
            </w:r>
          </w:p>
        </w:tc>
        <w:tc>
          <w:tcPr/>
          <w:p>
            <w:pPr>
              <w:pStyle w:val="Compact"/>
              <w:jc w:val="left"/>
            </w:pPr>
            <w:r>
              <w:t xml:space="preserve">Quantity / Hours</w:t>
            </w:r>
          </w:p>
        </w:tc>
        <w:tc>
          <w:tcPr/>
          <w:p>
            <w:pPr>
              <w:pStyle w:val="Compact"/>
              <w:jc w:val="left"/>
            </w:pPr>
            <w:r>
              <w:t xml:space="preserve">Unit Price (IQD)</w:t>
            </w:r>
          </w:p>
        </w:tc>
        <w:tc>
          <w:tcPr/>
          <w:p>
            <w:pPr>
              <w:pStyle w:val="Compact"/>
              <w:jc w:val="left"/>
            </w:pPr>
            <w:r>
              <w:t xml:space="preserve">Total (IQD)</w:t>
            </w:r>
          </w:p>
        </w:tc>
      </w:tr>
      <w:tr>
        <w:tc>
          <w:tcPr/>
          <w:p>
            <w:pPr>
              <w:pStyle w:val="Compact"/>
              <w:jc w:val="left"/>
            </w:pPr>
            <w:r>
              <w:t xml:space="preserve">1</w:t>
            </w:r>
          </w:p>
        </w:tc>
        <w:tc>
          <w:tcPr/>
          <w:p>
            <w:pPr>
              <w:pStyle w:val="Compact"/>
              <w:jc w:val="left"/>
            </w:pPr>
            <w:r>
              <w:rPr>
                <w:bCs/>
                <w:b/>
              </w:rPr>
              <w:t xml:space="preserve">Lead Medical Researcher Consultation &amp; Strategy</w:t>
            </w:r>
            <w:r>
              <w:br/>
            </w:r>
            <w:r>
              <w:t xml:space="preserve">Comprehensive strategic planning for the clinical trial protocols regarding infectious disease management in Baghdad. Includes regulatory compliance review with Iraqi health authorities.</w:t>
            </w:r>
          </w:p>
        </w:tc>
        <w:tc>
          <w:tcPr/>
          <w:p>
            <w:pPr>
              <w:pStyle w:val="Compact"/>
              <w:jc w:val="left"/>
            </w:pPr>
            <w:r>
              <w:t xml:space="preserve">40 Hours</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2</w:t>
            </w:r>
          </w:p>
        </w:tc>
        <w:tc>
          <w:tcPr/>
          <w:p>
            <w:pPr>
              <w:pStyle w:val="Compact"/>
              <w:jc w:val="left"/>
            </w:pPr>
            <w:r>
              <w:rPr>
                <w:bCs/>
                <w:b/>
              </w:rPr>
              <w:t xml:space="preserve">Data Collection &amp; Field Analysis</w:t>
            </w:r>
            <w:r>
              <w:br/>
            </w:r>
            <w:r>
              <w:t xml:space="preserve">Supervision of data gathering across three major hospitals in Baghdad. Validation of patient records and statistical analysis of preliminary findings.</w:t>
            </w:r>
          </w:p>
        </w:tc>
        <w:tc>
          <w:tcPr/>
          <w:p>
            <w:pPr>
              <w:pStyle w:val="Compact"/>
              <w:jc w:val="left"/>
            </w:pPr>
            <w:r>
              <w:t xml:space="preserve">1 Lot</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3</w:t>
            </w:r>
          </w:p>
        </w:tc>
        <w:tc>
          <w:tcPr/>
          <w:p>
            <w:pPr>
              <w:pStyle w:val="Compact"/>
              <w:jc w:val="left"/>
            </w:pPr>
            <w:r>
              <w:rPr>
                <w:bCs/>
                <w:b/>
              </w:rPr>
              <w:t xml:space="preserve">Medical Report Drafting &amp; Peer Review</w:t>
            </w:r>
            <w:r>
              <w:br/>
            </w:r>
            <w:r>
              <w:t xml:space="preserve">Preparation of the final technical report detailing the efficacy of the new treatment regimen. Includes translation of key findings into English for international publication.</w:t>
            </w:r>
          </w:p>
        </w:tc>
        <w:tc>
          <w:tcPr/>
          <w:p>
            <w:pPr>
              <w:pStyle w:val="Compact"/>
              <w:jc w:val="left"/>
            </w:pPr>
            <w:r>
              <w:t xml:space="preserve">1 Lot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4</w:t>
            </w:r>
          </w:p>
        </w:tc>
        <w:tc>
          <w:tcPr/>
          <w:p>
            <w:pPr>
              <w:pStyle w:val="Compact"/>
              <w:jc w:val="left"/>
            </w:pPr>
            <w:r>
              <w:rPr>
                <w:bCs/>
                <w:b/>
              </w:rPr>
              <w:t xml:space="preserve">Equipment Calibration &amp; Lab Maintenance</w:t>
            </w:r>
            <w:r>
              <w:br/>
            </w:r>
            <w:r>
              <w:t xml:space="preserve">Specialized calibration of PCR machines and spectrophotometers used during the research phase to ensure accuracy of biological samples.</w:t>
            </w:r>
          </w:p>
        </w:tc>
        <w:tc>
          <w:tcPr/>
          <w:p>
            <w:pPr>
              <w:pStyle w:val="Compact"/>
              <w:jc w:val="left"/>
            </w:pPr>
            <w:r>
              <w:t xml:space="preserve">5 Units</w:t>
            </w:r>
          </w:p>
        </w:tc>
        <w:tc>
          <w:tcPr/>
          <w:p>
            <w:pPr>
              <w:pStyle w:val="Compact"/>
              <w:jc w:val="left"/>
            </w:pPr>
            <w:r>
              <w:t xml:space="preserve">1,200,000</w:t>
            </w:r>
          </w:p>
        </w:tc>
        <w:tc>
          <w:tcPr/>
          <w:p>
            <w:pPr>
              <w:pStyle w:val="Compact"/>
              <w:jc w:val="left"/>
            </w:pPr>
            <w:r>
              <w:t xml:space="preserve">6,000,000</w:t>
            </w:r>
          </w:p>
        </w:tc>
      </w:tr>
    </w:tbl>
    <w:p>
      <w:pPr>
        <w:pStyle w:val="BodyText"/>
      </w:pPr>
      <w:r>
        <w:t xml:space="preserve">Subtotal:</w:t>
      </w:r>
      <w:r>
        <w:t xml:space="preserve"> </w:t>
      </w:r>
      <w:r>
        <w:t xml:space="preserve">39,500,000 IQD</w:t>
      </w:r>
    </w:p>
    <w:p>
      <w:pPr>
        <w:pStyle w:val="BodyText"/>
      </w:pPr>
      <w:r>
        <w:t xml:space="preserve">VAT (3%):</w:t>
      </w:r>
      <w:r>
        <w:t xml:space="preserve"> </w:t>
      </w:r>
      <w:r>
        <w:t xml:space="preserve">1,185,000 IQD</w:t>
      </w:r>
    </w:p>
    <w:p>
      <w:pPr>
        <w:pStyle w:val="BodyText"/>
      </w:pPr>
      <w:r>
        <w:t xml:space="preserve">Service Tax:</w:t>
      </w:r>
      <w:r>
        <w:t xml:space="preserve"> </w:t>
      </w:r>
      <w:r>
        <w:t xml:space="preserve">0 IQD</w:t>
      </w:r>
    </w:p>
    <w:p>
      <w:pPr>
        <w:pStyle w:val="BodyText"/>
      </w:pPr>
      <w:r>
        <w:t xml:space="preserve">TOTAL DUE:</w:t>
      </w:r>
      <w:r>
        <w:t xml:space="preserve"> </w:t>
      </w:r>
      <w:r>
        <w:t xml:space="preserve">40,685,000 IQD</w:t>
      </w:r>
    </w:p>
    <w:p>
      <w:pPr>
        <w:pStyle w:val="BodyText"/>
      </w:pPr>
      <w:r>
        <w:t xml:space="preserve">(Forty Million Six Hundred Eighty-Five Thousand Iraqi Dinars)</w:t>
      </w:r>
    </w:p>
    <w:bookmarkStart w:id="23" w:name="payment-terms-conditions"/>
    <w:p>
      <w:pPr>
        <w:pStyle w:val="Heading4"/>
      </w:pPr>
      <w:r>
        <w:t xml:space="preserve">Payment Terms &amp; Conditions:</w:t>
      </w:r>
    </w:p>
    <w:p>
      <w:pPr>
        <w:pStyle w:val="FirstParagraph"/>
      </w:pPr>
      <w:r>
        <w:t xml:space="preserve">1. Payment is due within 30 days of the invoice date. Late payments may incur a penalty fee of 2% per month.</w:t>
      </w:r>
      <w:r>
        <w:br/>
      </w:r>
      <w:r>
        <w:t xml:space="preserve">2. Payments should be made via bank transfer to the following account:</w:t>
      </w:r>
      <w:r>
        <w:br/>
      </w:r>
      <w:r>
        <w:rPr>
          <w:bCs/>
          <w:b/>
        </w:rPr>
        <w:t xml:space="preserve">Bank Name:</w:t>
      </w:r>
      <w:r>
        <w:t xml:space="preserve"> </w:t>
      </w:r>
      <w:r>
        <w:t xml:space="preserve">Rafidain Bank, Baghdad Branch</w:t>
      </w:r>
      <w:r>
        <w:br/>
      </w:r>
      <w:r>
        <w:rPr>
          <w:bCs/>
          <w:b/>
        </w:rPr>
        <w:t xml:space="preserve">Account Name:</w:t>
      </w:r>
      <w:r>
        <w:t xml:space="preserve"> </w:t>
      </w:r>
      <w:r>
        <w:t xml:space="preserve">Baghdad Advanced Medical Research Institute</w:t>
      </w:r>
      <w:r>
        <w:br/>
      </w:r>
      <w:r>
        <w:rPr>
          <w:bCs/>
          <w:b/>
        </w:rPr>
        <w:t xml:space="preserve">Account Number:</w:t>
      </w:r>
      <w:r>
        <w:t xml:space="preserve"> </w:t>
      </w:r>
      <w:r>
        <w:t xml:space="preserve">1234-5678-9012-3456</w:t>
      </w:r>
      <w:r>
        <w:br/>
      </w:r>
      <w:r>
        <w:rPr>
          <w:bCs/>
          <w:b/>
        </w:rPr>
        <w:t xml:space="preserve">SWIFT Code:</w:t>
      </w:r>
      <w:r>
        <w:t xml:space="preserve"> </w:t>
      </w:r>
      <w:r>
        <w:t xml:space="preserve">RAFDIQBA</w:t>
      </w:r>
      <w:r>
        <w:br/>
      </w:r>
    </w:p>
    <w:bookmarkEnd w:id="23"/>
    <w:bookmarkStart w:id="24" w:name="scope-of-work-clarification"/>
    <w:p>
      <w:pPr>
        <w:pStyle w:val="Heading4"/>
      </w:pPr>
      <w:r>
        <w:t xml:space="preserve">Scope of Work Clarification:</w:t>
      </w:r>
    </w:p>
    <w:p>
      <w:pPr>
        <w:pStyle w:val="FirstParagraph"/>
      </w:pPr>
      <w:r>
        <w:t xml:space="preserve">This invoice covers the professional services rendered by the Lead Medical Researcher for the period of September 1, 2023, to October 20, 2023. The research conducted adheres strictly to the ethical guidelines set forth by the Iraqi Ministry of Health and international medical standards. All data collected remains the intellectual property of the Ministry of Health unless otherwise agreed upon in the primary contract.</w:t>
      </w:r>
    </w:p>
    <w:bookmarkEnd w:id="24"/>
    <w:bookmarkStart w:id="25" w:name="important-notice"/>
    <w:p>
      <w:pPr>
        <w:pStyle w:val="Heading4"/>
      </w:pPr>
      <w:r>
        <w:t xml:space="preserve">Important Notice:</w:t>
      </w:r>
    </w:p>
    <w:p>
      <w:pPr>
        <w:pStyle w:val="FirstParagraph"/>
      </w:pPr>
      <w:r>
        <w:t xml:space="preserve">Please ensure that the invoice number (#INV-2023-BG-045) is referenced in all correspondence and payment transactions. If there are any discrepancies regarding the services provided or the calculations listed above, please contact the finance department immediately at the phone number listed in the header.</w:t>
      </w:r>
    </w:p>
    <w:bookmarkEnd w:id="25"/>
    <w:p>
      <w:pPr>
        <w:pStyle w:val="BodyText"/>
      </w:pPr>
      <w:r>
        <w:rPr>
          <w:bCs/>
          <w:b/>
        </w:rPr>
        <w:t xml:space="preserve">Authorized Signature</w:t>
      </w:r>
    </w:p>
    <w:p>
      <w:pPr>
        <w:pStyle w:val="BodyText"/>
      </w:pPr>
      <w:r>
        <w:t xml:space="preserve">Dr. Ahmed Al-Farsi</w:t>
      </w:r>
    </w:p>
    <w:p>
      <w:pPr>
        <w:pStyle w:val="BodyText"/>
      </w:pPr>
      <w:r>
        <w:t xml:space="preserve">Lead Medical Researcher</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 - Baghdad, Iraq</dc:title>
  <dc:creator/>
  <dc:language>en</dc:language>
  <cp:keywords/>
  <dcterms:created xsi:type="dcterms:W3CDTF">2026-10-10T06:30:17Z</dcterms:created>
  <dcterms:modified xsi:type="dcterms:W3CDTF">2026-10-10T06:30:17Z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