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Jerusalem,</w:t>
      </w:r>
      <w:r>
        <w:t xml:space="preserve"> </w:t>
      </w:r>
      <w:r>
        <w:t xml:space="preserve">Israel</w:t>
      </w:r>
    </w:p>
    <w:bookmarkStart w:id="20" w:name="X4d286ed9f3fd3577ea014264d4d173cb9e923fb"/>
    <w:p>
      <w:pPr>
        <w:pStyle w:val="Heading1"/>
      </w:pPr>
      <w:r>
        <w:t xml:space="preserve">Jerusalem Advanced Medical Research Institute</w:t>
      </w:r>
    </w:p>
    <w:p>
      <w:pPr>
        <w:pStyle w:val="FirstParagraph"/>
      </w:pPr>
      <w:r>
        <w:rPr>
          <w:bCs/>
          <w:b/>
        </w:rPr>
        <w:t xml:space="preserve">Lead Medical Researcher:</w:t>
      </w:r>
      <w:r>
        <w:t xml:space="preserve"> </w:t>
      </w:r>
      <w:r>
        <w:t xml:space="preserve">Dr. Sarah Cohen, Ph.D.</w:t>
      </w:r>
    </w:p>
    <w:p>
      <w:pPr>
        <w:pStyle w:val="BodyText"/>
      </w:pPr>
      <w:r>
        <w:t xml:space="preserve">12 King David Street, Talpiot</w:t>
      </w:r>
    </w:p>
    <w:p>
      <w:pPr>
        <w:pStyle w:val="BodyText"/>
      </w:pPr>
      <w:r>
        <w:t xml:space="preserve">Jerusalem, Israel 9415001</w:t>
      </w:r>
    </w:p>
    <w:p>
      <w:pPr>
        <w:pStyle w:val="BodyText"/>
      </w:pPr>
      <w:r>
        <w:t xml:space="preserve">VAT ID: 501234567</w:t>
      </w:r>
    </w:p>
    <w:p>
      <w:pPr>
        <w:pStyle w:val="BodyText"/>
      </w:pPr>
      <w:r>
        <w:t xml:space="preserve">Email: billing@jarmi.co.il | Phone: +972-2-555-0199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INV-JRM-2023-089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Clinical Trial Phase II - Oncology</w:t>
      </w:r>
    </w:p>
    <w:bookmarkEnd w:id="21"/>
    <w:bookmarkStart w:id="22" w:name="bill-to"/>
    <w:p>
      <w:pPr>
        <w:pStyle w:val="Heading3"/>
      </w:pPr>
      <w:r>
        <w:t xml:space="preserve">Bill To:</w:t>
      </w:r>
    </w:p>
    <w:p>
      <w:pPr>
        <w:pStyle w:val="FirstParagraph"/>
      </w:pPr>
      <w:r>
        <w:rPr>
          <w:bCs/>
          <w:b/>
        </w:rPr>
        <w:t xml:space="preserve">Global Health Solutions Ltd.</w:t>
      </w:r>
    </w:p>
    <w:p>
      <w:pPr>
        <w:pStyle w:val="BodyText"/>
      </w:pPr>
      <w:r>
        <w:t xml:space="preserve">Attn: Procurement Department</w:t>
      </w:r>
    </w:p>
    <w:p>
      <w:pPr>
        <w:pStyle w:val="BodyText"/>
      </w:pPr>
      <w:r>
        <w:t xml:space="preserve">45 Rothschild Boulevard</w:t>
      </w:r>
    </w:p>
    <w:p>
      <w:pPr>
        <w:pStyle w:val="BodyText"/>
      </w:pPr>
      <w:r>
        <w:t xml:space="preserve">Tel Aviv, Israel 6688101</w:t>
      </w:r>
    </w:p>
    <w:p>
      <w:pPr>
        <w:pStyle w:val="BodyText"/>
      </w:pPr>
      <w:r>
        <w:t xml:space="preserve">VAT ID: 519876543</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Medical Research Services</w:t>
            </w:r>
          </w:p>
        </w:tc>
        <w:tc>
          <w:tcPr/>
          <w:p>
            <w:pPr>
              <w:pStyle w:val="Compact"/>
              <w:jc w:val="left"/>
            </w:pPr>
            <w:r>
              <w:t xml:space="preserve">Hours / Units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rPr>
                <w:bCs/>
                <w:b/>
              </w:rPr>
              <w:t xml:space="preserve">Principal Investigator Oversight:</w:t>
            </w:r>
            <w:r>
              <w:t xml:space="preserve"> </w:t>
            </w:r>
            <w:r>
              <w:t xml:space="preserve">Comprehensive supervision of clinical trial protocols conducted within Jerusalem medical facilities. This includes ensuring strict adherence to the Declaration of Helsinki and local Israeli Ministry of Health regulations.</w:t>
            </w:r>
          </w:p>
        </w:tc>
        <w:tc>
          <w:tcPr/>
          <w:p>
            <w:pPr>
              <w:pStyle w:val="Compact"/>
              <w:jc w:val="left"/>
            </w:pPr>
            <w:r>
              <w:t xml:space="preserve">40.0</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2</w:t>
            </w:r>
          </w:p>
        </w:tc>
        <w:tc>
          <w:tcPr/>
          <w:p>
            <w:pPr>
              <w:pStyle w:val="Compact"/>
              <w:jc w:val="left"/>
            </w:pPr>
            <w:r>
              <w:rPr>
                <w:bCs/>
                <w:b/>
              </w:rPr>
              <w:t xml:space="preserve">Data Analysis &amp; Biostatistics:</w:t>
            </w:r>
            <w:r>
              <w:t xml:space="preserve"> </w:t>
            </w:r>
            <w:r>
              <w:t xml:space="preserve">Advanced statistical analysis of patient data sets collected during the Q3 research period. Utilization of SAS and R programming environments to determine efficacy markers for the new therapeutic compound.</w:t>
            </w:r>
          </w:p>
        </w:tc>
        <w:tc>
          <w:tcPr/>
          <w:p>
            <w:pPr>
              <w:pStyle w:val="Compact"/>
              <w:jc w:val="left"/>
            </w:pPr>
            <w:r>
              <w:t xml:space="preserve">25.0</w:t>
            </w:r>
          </w:p>
        </w:tc>
        <w:tc>
          <w:tcPr/>
          <w:p>
            <w:pPr>
              <w:pStyle w:val="Compact"/>
              <w:jc w:val="left"/>
            </w:pPr>
            <w:r>
              <w:t xml:space="preserve">750.00</w:t>
            </w:r>
          </w:p>
        </w:tc>
        <w:tc>
          <w:tcPr/>
          <w:p>
            <w:pPr>
              <w:pStyle w:val="Compact"/>
              <w:jc w:val="left"/>
            </w:pPr>
            <w:r>
              <w:t xml:space="preserve">18,750.00</w:t>
            </w:r>
          </w:p>
        </w:tc>
      </w:tr>
      <w:tr>
        <w:tc>
          <w:tcPr/>
          <w:p>
            <w:pPr>
              <w:pStyle w:val="Compact"/>
              <w:jc w:val="left"/>
            </w:pPr>
            <w:r>
              <w:t xml:space="preserve">3</w:t>
            </w:r>
          </w:p>
        </w:tc>
        <w:tc>
          <w:tcPr/>
          <w:p>
            <w:pPr>
              <w:pStyle w:val="Compact"/>
              <w:jc w:val="left"/>
            </w:pPr>
            <w:r>
              <w:rPr>
                <w:bCs/>
                <w:b/>
              </w:rPr>
              <w:t xml:space="preserve">Regulatory Compliance Reporting:</w:t>
            </w:r>
            <w:r>
              <w:t xml:space="preserve"> </w:t>
            </w:r>
            <w:r>
              <w:t xml:space="preserve">Preparation and submission of mandatory safety reports to the Israeli Ministry of Health and the Institutional Review Board (IRB) in Jerusalem. Ensuring all documentation meets international GCP (Good Clinical Practice) standards.</w:t>
            </w:r>
          </w:p>
        </w:tc>
        <w:tc>
          <w:tcPr/>
          <w:p>
            <w:pPr>
              <w:pStyle w:val="Compact"/>
              <w:jc w:val="left"/>
            </w:pPr>
            <w:r>
              <w:t xml:space="preserve">15.0</w:t>
            </w:r>
          </w:p>
        </w:tc>
        <w:tc>
          <w:tcPr/>
          <w:p>
            <w:pPr>
              <w:pStyle w:val="Compact"/>
              <w:jc w:val="left"/>
            </w:pPr>
            <w:r>
              <w:t xml:space="preserve">800.00</w:t>
            </w:r>
          </w:p>
        </w:tc>
        <w:tc>
          <w:tcPr/>
          <w:p>
            <w:pPr>
              <w:pStyle w:val="Compact"/>
              <w:jc w:val="left"/>
            </w:pPr>
            <w:r>
              <w:t xml:space="preserve">12,000.00</w:t>
            </w:r>
          </w:p>
        </w:tc>
      </w:tr>
      <w:tr>
        <w:tc>
          <w:tcPr/>
          <w:p>
            <w:pPr>
              <w:pStyle w:val="Compact"/>
              <w:jc w:val="left"/>
            </w:pPr>
            <w:r>
              <w:t xml:space="preserve">4</w:t>
            </w:r>
          </w:p>
        </w:tc>
        <w:tc>
          <w:tcPr/>
          <w:p>
            <w:pPr>
              <w:pStyle w:val="Compact"/>
              <w:jc w:val="left"/>
            </w:pPr>
            <w:r>
              <w:rPr>
                <w:bCs/>
                <w:b/>
              </w:rPr>
              <w:t xml:space="preserve">Medical Literature Review:</w:t>
            </w:r>
            <w:r>
              <w:t xml:space="preserve"> </w:t>
            </w:r>
            <w:r>
              <w:t xml:space="preserve">Extensive review of current global medical literature to contextualize research findings. This service ensures the Medical Researcher's methodology remains at the forefront of scientific discovery.</w:t>
            </w:r>
          </w:p>
        </w:tc>
        <w:tc>
          <w:tcPr/>
          <w:p>
            <w:pPr>
              <w:pStyle w:val="Compact"/>
              <w:jc w:val="left"/>
            </w:pPr>
            <w:r>
              <w:t xml:space="preserve">10.0</w:t>
            </w:r>
          </w:p>
        </w:tc>
        <w:tc>
          <w:tcPr/>
          <w:p>
            <w:pPr>
              <w:pStyle w:val="Compact"/>
              <w:jc w:val="left"/>
            </w:pPr>
            <w:r>
              <w:t xml:space="preserve">600.00</w:t>
            </w:r>
          </w:p>
        </w:tc>
        <w:tc>
          <w:tcPr/>
          <w:p>
            <w:pPr>
              <w:pStyle w:val="Compact"/>
              <w:jc w:val="left"/>
            </w:pPr>
            <w:r>
              <w:t xml:space="preserve">6,000.00</w:t>
            </w:r>
          </w:p>
        </w:tc>
      </w:tr>
      <w:tr>
        <w:tc>
          <w:tcPr/>
          <w:p>
            <w:pPr>
              <w:pStyle w:val="Compact"/>
              <w:jc w:val="left"/>
            </w:pPr>
            <w:r>
              <w:t xml:space="preserve">5</w:t>
            </w:r>
          </w:p>
        </w:tc>
        <w:tc>
          <w:tcPr/>
          <w:p>
            <w:pPr>
              <w:pStyle w:val="Compact"/>
              <w:jc w:val="left"/>
            </w:pPr>
            <w:r>
              <w:rPr>
                <w:bCs/>
                <w:b/>
              </w:rPr>
              <w:t xml:space="preserve">Stakeholder Consultation:</w:t>
            </w:r>
            <w:r>
              <w:t xml:space="preserve"> </w:t>
            </w:r>
            <w:r>
              <w:t xml:space="preserve">Strategic meetings with hospital administrators and pharmaceutical partners in Jerusalem to discuss trial progress, patient recruitment strategies, and resource allocation.</w:t>
            </w:r>
          </w:p>
        </w:tc>
        <w:tc>
          <w:tcPr/>
          <w:p>
            <w:pPr>
              <w:pStyle w:val="Compact"/>
              <w:jc w:val="left"/>
            </w:pPr>
            <w:r>
              <w:t xml:space="preserve">8.0</w:t>
            </w:r>
          </w:p>
        </w:tc>
        <w:tc>
          <w:tcPr/>
          <w:p>
            <w:pPr>
              <w:pStyle w:val="Compact"/>
              <w:jc w:val="left"/>
            </w:pPr>
            <w:r>
              <w:t xml:space="preserve">700.00</w:t>
            </w:r>
          </w:p>
        </w:tc>
        <w:tc>
          <w:tcPr/>
          <w:p>
            <w:pPr>
              <w:pStyle w:val="Compact"/>
              <w:jc w:val="left"/>
            </w:pPr>
            <w:r>
              <w:t xml:space="preserve">5,600.00</w:t>
            </w:r>
          </w:p>
        </w:tc>
      </w:tr>
    </w:tbl>
    <w:p>
      <w:pPr>
        <w:pStyle w:val="BodyText"/>
      </w:pPr>
      <w:r>
        <w:t xml:space="preserve">Subtotal:</w:t>
      </w:r>
      <w:r>
        <w:t xml:space="preserve"> </w:t>
      </w:r>
      <w:r>
        <w:t xml:space="preserve">76,350.00 ILS</w:t>
      </w:r>
    </w:p>
    <w:p>
      <w:pPr>
        <w:pStyle w:val="BodyText"/>
      </w:pPr>
      <w:r>
        <w:t xml:space="preserve">VAT (17%):</w:t>
      </w:r>
      <w:r>
        <w:t xml:space="preserve"> </w:t>
      </w:r>
      <w:r>
        <w:t xml:space="preserve">12,979.50 ILS</w:t>
      </w:r>
    </w:p>
    <w:p>
      <w:pPr>
        <w:pStyle w:val="BodyText"/>
      </w:pPr>
      <w:r>
        <w:t xml:space="preserve">Total Due:</w:t>
      </w:r>
      <w:r>
        <w:t xml:space="preserve"> </w:t>
      </w:r>
      <w:r>
        <w:t xml:space="preserve">89,329.50 ILS</w:t>
      </w:r>
    </w:p>
    <w:bookmarkStart w:id="23" w:name="X7c284cb4b8523f2391e6583c95010bab028d47a"/>
    <w:p>
      <w:pPr>
        <w:pStyle w:val="Heading4"/>
      </w:pPr>
      <w:r>
        <w:t xml:space="preserve">Terms and Conditions &amp; Payment Instructions</w:t>
      </w:r>
    </w:p>
    <w:p>
      <w:pPr>
        <w:pStyle w:val="FirstParagraph"/>
      </w:pPr>
      <w:r>
        <w:rPr>
          <w:bCs/>
          <w:b/>
        </w:rPr>
        <w:t xml:space="preserve">Payment Method:</w:t>
      </w:r>
      <w:r>
        <w:t xml:space="preserve"> </w:t>
      </w:r>
      <w:r>
        <w:t xml:space="preserve">Payment is to be made via bank transfer to the following account:</w:t>
      </w:r>
      <w:r>
        <w:br/>
      </w:r>
      <w:r>
        <w:t xml:space="preserve">Bank: Bank Hapoalim, Jerusalem Branch</w:t>
      </w:r>
      <w:r>
        <w:br/>
      </w:r>
      <w:r>
        <w:t xml:space="preserve">Account Name: Jerusalem Advanced Medical Research Institute</w:t>
      </w:r>
      <w:r>
        <w:br/>
      </w:r>
      <w:r>
        <w:t xml:space="preserve">Account Number: 999-88-7776655</w:t>
      </w:r>
      <w:r>
        <w:br/>
      </w:r>
      <w:r>
        <w:t xml:space="preserve">SWIFT/BIC: POALILIT</w:t>
      </w:r>
    </w:p>
    <w:p>
      <w:pPr>
        <w:pStyle w:val="BodyText"/>
      </w:pPr>
      <w:r>
        <w:rPr>
          <w:bCs/>
          <w:b/>
        </w:rPr>
        <w:t xml:space="preserve">Terms:</w:t>
      </w:r>
      <w:r>
        <w:t xml:space="preserve"> </w:t>
      </w:r>
      <w:r>
        <w:t xml:space="preserve">Payment is due within 30 days of the invoice date. Late payments may incur a penalty interest rate of 1.5% per month, in accordance with Israeli commercial law. Please reference Invoice Number INV-JRM-2023-089 when making payment.</w:t>
      </w:r>
    </w:p>
    <w:p>
      <w:pPr>
        <w:pStyle w:val="BodyText"/>
      </w:pPr>
      <w:r>
        <w:rPr>
          <w:bCs/>
          <w:b/>
        </w:rPr>
        <w:t xml:space="preserve">Service Scope:</w:t>
      </w:r>
      <w:r>
        <w:t xml:space="preserve"> </w:t>
      </w:r>
      <w:r>
        <w:t xml:space="preserve">This invoice covers professional services rendered by a qualified Medical Researcher specializing in oncology and clinical trials. All work performed adheres to the highest ethical standards required for medical research in Israel. The data generated is the intellectual property of the client, subject to the confidentiality agreements signed on September 1, 2023.</w:t>
      </w:r>
    </w:p>
    <w:p>
      <w:pPr>
        <w:pStyle w:val="BodyText"/>
      </w:pPr>
      <w:r>
        <w:rPr>
          <w:bCs/>
          <w:b/>
        </w:rPr>
        <w:t xml:space="preserve">Location Specifics:</w:t>
      </w:r>
      <w:r>
        <w:t xml:space="preserve"> </w:t>
      </w:r>
      <w:r>
        <w:t xml:space="preserve">All on-site research activities referenced in this invoice were conducted at approved medical facilities within Jerusalem, Israel. Travel expenses within the Jerusalem municipality are included in the hourly rates; inter-city travel requires separate authorization.</w:t>
      </w:r>
    </w:p>
    <w:p>
      <w:pPr>
        <w:pStyle w:val="BodyText"/>
      </w:pPr>
      <w:r>
        <w:rPr>
          <w:bCs/>
          <w:b/>
        </w:rPr>
        <w:t xml:space="preserve">Disputes:</w:t>
      </w:r>
      <w:r>
        <w:t xml:space="preserve"> </w:t>
      </w:r>
      <w:r>
        <w:t xml:space="preserve">Any discrepancies regarding this invoice must be reported in writing within 7 days of receipt. Failure to report discrepancies will result in the invoice being considered accepted.</w:t>
      </w:r>
    </w:p>
    <w:bookmarkEnd w:id="23"/>
    <w:p>
      <w:pPr>
        <w:pStyle w:val="BodyText"/>
      </w:pPr>
      <w:r>
        <w:t xml:space="preserve">Thank you for your business. We are committed to advancing medical science through rigorous research in Jerusalem and beyond.</w:t>
      </w:r>
    </w:p>
    <w:p>
      <w:pPr>
        <w:pStyle w:val="BodyText"/>
      </w:pPr>
      <w:r>
        <w:t xml:space="preserve">© 2023 Jerusalem Advanced Medical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Jerusalem, Israel</dc:title>
  <dc:creator/>
  <dc:language>en</dc:language>
  <cp:keywords/>
  <dcterms:created xsi:type="dcterms:W3CDTF">2026-10-10T01:59:59Z</dcterms:created>
  <dcterms:modified xsi:type="dcterms:W3CDTF">2026-10-10T01:59:59Z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