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Kyoto,</w:t>
      </w:r>
      <w:r>
        <w:t xml:space="preserve"> </w:t>
      </w:r>
      <w:r>
        <w:t xml:space="preserve">Japan</w:t>
      </w:r>
    </w:p>
    <w:bookmarkStart w:id="20" w:name="kyoto-biomedical-research-institute"/>
    <w:p>
      <w:pPr>
        <w:pStyle w:val="Heading1"/>
      </w:pPr>
      <w:r>
        <w:t xml:space="preserve">Kyoto Biomedical Research Institute</w:t>
      </w:r>
    </w:p>
    <w:p>
      <w:pPr>
        <w:pStyle w:val="FirstParagraph"/>
      </w:pPr>
      <w:r>
        <w:t xml:space="preserve">1-2-3 Yoshida-Konoe-cho, Sakyo-ku</w:t>
      </w:r>
    </w:p>
    <w:p>
      <w:pPr>
        <w:pStyle w:val="BodyText"/>
      </w:pPr>
      <w:r>
        <w:t xml:space="preserve">Kyoto, Japan 606-8501</w:t>
      </w:r>
    </w:p>
    <w:p>
      <w:pPr>
        <w:pStyle w:val="BodyText"/>
      </w:pPr>
      <w:r>
        <w:t xml:space="preserve">Tel: +81-75-753-4567</w:t>
      </w:r>
    </w:p>
    <w:p>
      <w:pPr>
        <w:pStyle w:val="BodyText"/>
      </w:pPr>
      <w:r>
        <w:t xml:space="preserve">Email: billing@kyotobiomed.jp</w:t>
      </w:r>
    </w:p>
    <w:p>
      <w:pPr>
        <w:pStyle w:val="BodyText"/>
      </w:pPr>
      <w:r>
        <w:t xml:space="preserve">Corporate Number: 4010001234567</w:t>
      </w:r>
    </w:p>
    <w:bookmarkEnd w:id="20"/>
    <w:bookmarkStart w:id="21" w:name="invoice"/>
    <w:p>
      <w:pPr>
        <w:pStyle w:val="Heading2"/>
      </w:pPr>
      <w:r>
        <w:t xml:space="preserve">INVOICE</w:t>
      </w:r>
    </w:p>
    <w:p>
      <w:pPr>
        <w:pStyle w:val="FirstParagraph"/>
      </w:pPr>
      <w:r>
        <w:rPr>
          <w:bCs/>
          <w:b/>
        </w:rPr>
        <w:t xml:space="preserve">Invoice #:</w:t>
      </w:r>
      <w:r>
        <w:t xml:space="preserve"> </w:t>
      </w:r>
      <w:r>
        <w:t xml:space="preserve">KYO-2024-0892</w:t>
      </w:r>
    </w:p>
    <w:p>
      <w:pPr>
        <w:pStyle w:val="BodyText"/>
      </w:pPr>
      <w:r>
        <w:rPr>
          <w:bCs/>
          <w:b/>
        </w:rPr>
        <w:t xml:space="preserve">Date:</w:t>
      </w:r>
      <w:r>
        <w:t xml:space="preserve"> </w:t>
      </w:r>
      <w:r>
        <w:t xml:space="preserve">October 24, 2024</w:t>
      </w:r>
    </w:p>
    <w:p>
      <w:pPr>
        <w:pStyle w:val="BodyText"/>
      </w:pPr>
      <w:r>
        <w:rPr>
          <w:bCs/>
          <w:b/>
        </w:rPr>
        <w:t xml:space="preserve">Due Date:</w:t>
      </w:r>
      <w:r>
        <w:t xml:space="preserve"> </w:t>
      </w:r>
      <w:r>
        <w:t xml:space="preserve">November 24, 2024</w:t>
      </w:r>
    </w:p>
    <w:bookmarkEnd w:id="21"/>
    <w:bookmarkStart w:id="22" w:name="bill-to"/>
    <w:p>
      <w:pPr>
        <w:pStyle w:val="Heading3"/>
      </w:pPr>
      <w:r>
        <w:t xml:space="preserve">Bill To:</w:t>
      </w:r>
    </w:p>
    <w:p>
      <w:pPr>
        <w:pStyle w:val="FirstParagraph"/>
      </w:pPr>
      <w:r>
        <w:rPr>
          <w:bCs/>
          <w:b/>
        </w:rPr>
        <w:t xml:space="preserve">Dr. Hiroshi Tanaka</w:t>
      </w:r>
    </w:p>
    <w:p>
      <w:pPr>
        <w:pStyle w:val="BodyText"/>
      </w:pPr>
      <w:r>
        <w:t xml:space="preserve">Department of Advanced Medical Research</w:t>
      </w:r>
    </w:p>
    <w:p>
      <w:pPr>
        <w:pStyle w:val="BodyText"/>
      </w:pPr>
      <w:r>
        <w:t xml:space="preserve">Kyoto University Graduate School of Medicine</w:t>
      </w:r>
    </w:p>
    <w:p>
      <w:pPr>
        <w:pStyle w:val="BodyText"/>
      </w:pPr>
      <w:r>
        <w:t xml:space="preserve">54 Kawahara-cho, Shogoin, Sakyo-ku</w:t>
      </w:r>
    </w:p>
    <w:p>
      <w:pPr>
        <w:pStyle w:val="BodyText"/>
      </w:pPr>
      <w:r>
        <w:t xml:space="preserve">Kyoto, Japan 606-8507</w:t>
      </w:r>
    </w:p>
    <w:p>
      <w:pPr>
        <w:pStyle w:val="BodyText"/>
      </w:pPr>
      <w:r>
        <w:t xml:space="preserve">Japan</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Neurodegenerative Disease Biomarker Analysis</w:t>
      </w:r>
    </w:p>
    <w:p>
      <w:pPr>
        <w:pStyle w:val="BodyText"/>
      </w:pPr>
      <w:r>
        <w:rPr>
          <w:bCs/>
          <w:b/>
        </w:rPr>
        <w:t xml:space="preserve">Location:</w:t>
      </w:r>
      <w:r>
        <w:t xml:space="preserve"> </w:t>
      </w:r>
      <w:r>
        <w:t xml:space="preserve">Kyoto Biomedical Research Lab</w:t>
      </w:r>
    </w:p>
    <w:p>
      <w:pPr>
        <w:pStyle w:val="BodyText"/>
      </w:pPr>
      <w:r>
        <w:rPr>
          <w:bCs/>
          <w:b/>
        </w:rPr>
        <w:t xml:space="preserve">Period:</w:t>
      </w:r>
      <w:r>
        <w:t xml:space="preserve"> </w:t>
      </w:r>
      <w:r>
        <w:t xml:space="preserve">September 1, 2024 - September 30, 2024</w:t>
      </w:r>
    </w:p>
    <w:p>
      <w:pPr>
        <w:pStyle w:val="BodyText"/>
      </w:pPr>
      <w:r>
        <w:rPr>
          <w:bCs/>
          <w:b/>
        </w:rPr>
        <w:t xml:space="preserve">Contact:</w:t>
      </w:r>
      <w:r>
        <w:t xml:space="preserve"> </w:t>
      </w:r>
      <w:r>
        <w:t xml:space="preserve">Dr. Sarah Mitchell, Lead Medical Researcher</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Hours/Qty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rPr>
                <w:bCs/>
                <w:b/>
              </w:rPr>
              <w:t xml:space="preserve">Medical Researcher Services - Senior Consultant</w:t>
            </w:r>
            <w:r>
              <w:br/>
            </w:r>
            <w:r>
              <w:t xml:space="preserve">Comprehensive analysis of clinical trial data for Alzheimer's disease progression markers. Includes statistical modeling, peer review of methodology, and preparation of findings for publication in international medical journals. Services rendered in accordance with Japanese medical research standards and ethical guidelines.</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1,800,000</w:t>
            </w:r>
          </w:p>
        </w:tc>
      </w:tr>
      <w:tr>
        <w:tc>
          <w:tcPr/>
          <w:p>
            <w:pPr>
              <w:pStyle w:val="Compact"/>
              <w:jc w:val="left"/>
            </w:pPr>
            <w:r>
              <w:rPr>
                <w:bCs/>
                <w:b/>
              </w:rPr>
              <w:t xml:space="preserve">Laboratory Equipment Consultation</w:t>
            </w:r>
            <w:r>
              <w:br/>
            </w:r>
            <w:r>
              <w:t xml:space="preserve">Evaluation and optimization of high-performance liquid chromatography (HPLC) systems used in protein analysis. On-site consultation at Kyoto Biomedical Research Institute facilities. Includes calibration recommendations and staff training on advanced techniques.</w:t>
            </w:r>
          </w:p>
        </w:tc>
        <w:tc>
          <w:tcPr/>
          <w:p>
            <w:pPr>
              <w:pStyle w:val="Compact"/>
              <w:jc w:val="left"/>
            </w:pPr>
            <w:r>
              <w:t xml:space="preserve">16</w:t>
            </w:r>
          </w:p>
        </w:tc>
        <w:tc>
          <w:tcPr/>
          <w:p>
            <w:pPr>
              <w:pStyle w:val="Compact"/>
              <w:jc w:val="left"/>
            </w:pPr>
            <w:r>
              <w:t xml:space="preserve">18,000</w:t>
            </w:r>
          </w:p>
        </w:tc>
        <w:tc>
          <w:tcPr/>
          <w:p>
            <w:pPr>
              <w:pStyle w:val="Compact"/>
              <w:jc w:val="left"/>
            </w:pPr>
            <w:r>
              <w:t xml:space="preserve">288,000</w:t>
            </w:r>
          </w:p>
        </w:tc>
      </w:tr>
      <w:tr>
        <w:tc>
          <w:tcPr/>
          <w:p>
            <w:pPr>
              <w:pStyle w:val="Compact"/>
              <w:jc w:val="left"/>
            </w:pPr>
            <w:r>
              <w:rPr>
                <w:bCs/>
                <w:b/>
              </w:rPr>
              <w:t xml:space="preserve">Research Protocol Development</w:t>
            </w:r>
            <w:r>
              <w:br/>
            </w:r>
            <w:r>
              <w:t xml:space="preserve">Creation of detailed research protocols for Phase II clinical trials focusing on novel therapeutic interventions. Documentation prepared in compliance with Japan's Pharmaceuticals and Medical Devices Agency (PMDA) requirements and Good Clinical Practice (GCP) standards.</w:t>
            </w:r>
          </w:p>
        </w:tc>
        <w:tc>
          <w:tcPr/>
          <w:p>
            <w:pPr>
              <w:pStyle w:val="Compact"/>
              <w:jc w:val="left"/>
            </w:pPr>
            <w:r>
              <w:t xml:space="preserve">40</w:t>
            </w:r>
          </w:p>
        </w:tc>
        <w:tc>
          <w:tcPr/>
          <w:p>
            <w:pPr>
              <w:pStyle w:val="Compact"/>
              <w:jc w:val="left"/>
            </w:pPr>
            <w:r>
              <w:t xml:space="preserve">16,500</w:t>
            </w:r>
          </w:p>
        </w:tc>
        <w:tc>
          <w:tcPr/>
          <w:p>
            <w:pPr>
              <w:pStyle w:val="Compact"/>
              <w:jc w:val="left"/>
            </w:pPr>
            <w:r>
              <w:t xml:space="preserve">660,000</w:t>
            </w:r>
          </w:p>
        </w:tc>
      </w:tr>
      <w:tr>
        <w:tc>
          <w:tcPr/>
          <w:p>
            <w:pPr>
              <w:pStyle w:val="Compact"/>
              <w:jc w:val="left"/>
            </w:pPr>
            <w:r>
              <w:rPr>
                <w:bCs/>
                <w:b/>
              </w:rPr>
              <w:t xml:space="preserve">Data Analysis and Reporting</w:t>
            </w:r>
            <w:r>
              <w:br/>
            </w:r>
            <w:r>
              <w:t xml:space="preserve">Advanced biostatistical analysis of patient cohort data using R and Python programming environments. Generation of comprehensive reports including visualizations, trend analysis, and predictive modeling for disease progression patterns observed in the Kyoto metropolitan area population.</w:t>
            </w:r>
          </w:p>
        </w:tc>
        <w:tc>
          <w:tcPr/>
          <w:p>
            <w:pPr>
              <w:pStyle w:val="Compact"/>
              <w:jc w:val="left"/>
            </w:pPr>
            <w:r>
              <w:t xml:space="preserve">60</w:t>
            </w:r>
          </w:p>
        </w:tc>
        <w:tc>
          <w:tcPr/>
          <w:p>
            <w:pPr>
              <w:pStyle w:val="Compact"/>
              <w:jc w:val="left"/>
            </w:pPr>
            <w:r>
              <w:t xml:space="preserve">14,000</w:t>
            </w:r>
          </w:p>
        </w:tc>
        <w:tc>
          <w:tcPr/>
          <w:p>
            <w:pPr>
              <w:pStyle w:val="Compact"/>
              <w:jc w:val="left"/>
            </w:pPr>
            <w:r>
              <w:t xml:space="preserve">840,000</w:t>
            </w:r>
          </w:p>
        </w:tc>
      </w:tr>
      <w:tr>
        <w:tc>
          <w:tcPr/>
          <w:p>
            <w:pPr>
              <w:pStyle w:val="Compact"/>
              <w:jc w:val="left"/>
            </w:pPr>
            <w:r>
              <w:rPr>
                <w:bCs/>
                <w:b/>
              </w:rPr>
              <w:t xml:space="preserve">Regulatory Compliance Review</w:t>
            </w:r>
            <w:r>
              <w:br/>
            </w:r>
            <w:r>
              <w:t xml:space="preserve">Thorough review of research documentation to ensure compliance with Japanese medical research regulations, including the Act on the Protection of Personal Information and ethical review board requirements. Preparation of submission documents for institutional review board approval.</w:t>
            </w:r>
          </w:p>
        </w:tc>
        <w:tc>
          <w:tcPr/>
          <w:p>
            <w:pPr>
              <w:pStyle w:val="Compact"/>
              <w:jc w:val="left"/>
            </w:pPr>
            <w:r>
              <w:t xml:space="preserve">24</w:t>
            </w:r>
          </w:p>
        </w:tc>
        <w:tc>
          <w:tcPr/>
          <w:p>
            <w:pPr>
              <w:pStyle w:val="Compact"/>
              <w:jc w:val="left"/>
            </w:pPr>
            <w:r>
              <w:t xml:space="preserve">17,000</w:t>
            </w:r>
          </w:p>
        </w:tc>
        <w:tc>
          <w:tcPr/>
          <w:p>
            <w:pPr>
              <w:pStyle w:val="Compact"/>
              <w:jc w:val="left"/>
            </w:pPr>
            <w:r>
              <w:t xml:space="preserve">408,000</w:t>
            </w:r>
          </w:p>
        </w:tc>
      </w:tr>
      <w:tr>
        <w:tc>
          <w:tcPr/>
          <w:p>
            <w:pPr>
              <w:pStyle w:val="Compact"/>
              <w:jc w:val="left"/>
            </w:pPr>
            <w:r>
              <w:rPr>
                <w:bCs/>
                <w:b/>
              </w:rPr>
              <w:t xml:space="preserve">Collaborative Research Meetings</w:t>
            </w:r>
            <w:r>
              <w:br/>
            </w:r>
            <w:r>
              <w:t xml:space="preserve">Participation in weekly research coordination meetings with international partners and local Kyoto medical institutions. Facilitation of knowledge exchange sessions on emerging medical research methodologies and best practices in clinical trial management.</w:t>
            </w:r>
          </w:p>
        </w:tc>
        <w:tc>
          <w:tcPr/>
          <w:p>
            <w:pPr>
              <w:pStyle w:val="Compact"/>
              <w:jc w:val="left"/>
            </w:pPr>
            <w:r>
              <w:t xml:space="preserve">12</w:t>
            </w:r>
          </w:p>
        </w:tc>
        <w:tc>
          <w:tcPr/>
          <w:p>
            <w:pPr>
              <w:pStyle w:val="Compact"/>
              <w:jc w:val="left"/>
            </w:pPr>
            <w:r>
              <w:t xml:space="preserve">13,000</w:t>
            </w:r>
          </w:p>
        </w:tc>
        <w:tc>
          <w:tcPr/>
          <w:p>
            <w:pPr>
              <w:pStyle w:val="Compact"/>
              <w:jc w:val="left"/>
            </w:pPr>
            <w:r>
              <w:t xml:space="preserve">156,000</w:t>
            </w:r>
          </w:p>
        </w:tc>
      </w:tr>
    </w:tbl>
    <w:p>
      <w:pPr>
        <w:pStyle w:val="BodyText"/>
      </w:pPr>
      <w:r>
        <w:t xml:space="preserve">Subtotal:</w:t>
      </w:r>
      <w:r>
        <w:t xml:space="preserve"> </w:t>
      </w:r>
      <w:r>
        <w:t xml:space="preserve">¥4,152,000</w:t>
      </w:r>
    </w:p>
    <w:p>
      <w:pPr>
        <w:pStyle w:val="BodyText"/>
      </w:pPr>
      <w:r>
        <w:t xml:space="preserve">Consumption Tax (10%):</w:t>
      </w:r>
      <w:r>
        <w:t xml:space="preserve"> </w:t>
      </w:r>
      <w:r>
        <w:t xml:space="preserve">¥415,200</w:t>
      </w:r>
    </w:p>
    <w:p>
      <w:pPr>
        <w:pStyle w:val="BodyText"/>
      </w:pPr>
      <w:r>
        <w:t xml:space="preserve">Total Due:</w:t>
      </w:r>
      <w:r>
        <w:t xml:space="preserve"> </w:t>
      </w:r>
      <w:r>
        <w:t xml:space="preserve">¥4,567,200</w:t>
      </w:r>
    </w:p>
    <w:bookmarkStart w:id="24" w:name="payment-terms-and-notes"/>
    <w:p>
      <w:pPr>
        <w:pStyle w:val="Heading4"/>
      </w:pPr>
      <w:r>
        <w:t xml:space="preserve">Payment Terms and Notes:</w:t>
      </w:r>
    </w:p>
    <w:p>
      <w:pPr>
        <w:pStyle w:val="FirstParagraph"/>
      </w:pPr>
      <w:r>
        <w:t xml:space="preserve">Payment is due within 30 days of the invoice date. Please include the invoice number (KYO-2024-0892) as a reference with your payment. Late payments may be subject to a 1.5% monthly interest charge.</w:t>
      </w:r>
    </w:p>
    <w:p>
      <w:pPr>
        <w:pStyle w:val="BodyText"/>
      </w:pPr>
      <w:r>
        <w:rPr>
          <w:bCs/>
          <w:b/>
        </w:rPr>
        <w:t xml:space="preserve">Bank Transfer Details:</w:t>
      </w:r>
    </w:p>
    <w:p>
      <w:pPr>
        <w:pStyle w:val="BodyText"/>
      </w:pPr>
      <w:r>
        <w:t xml:space="preserve">Bank Name: Mizuho Bank, Ltd.</w:t>
      </w:r>
      <w:r>
        <w:br/>
      </w:r>
      <w:r>
        <w:t xml:space="preserve">Branch: Kyoto Main Branch</w:t>
      </w:r>
      <w:r>
        <w:br/>
      </w:r>
      <w:r>
        <w:t xml:space="preserve">Account Type: Ordinary Account</w:t>
      </w:r>
      <w:r>
        <w:br/>
      </w:r>
      <w:r>
        <w:t xml:space="preserve">Account Number: 1234567</w:t>
      </w:r>
      <w:r>
        <w:br/>
      </w:r>
      <w:r>
        <w:t xml:space="preserve">Account Name: Kyoto Biomedical Research Institute Co., Ltd.</w:t>
      </w:r>
    </w:p>
    <w:p>
      <w:pPr>
        <w:pStyle w:val="BodyText"/>
      </w:pPr>
      <w:r>
        <w:t xml:space="preserve">All services provided by our Medical Researcher team are conducted in strict accordance with Japanese medical research standards and international ethical guidelines. The research conducted in Japan Kyoto contributes to advancing medical knowledge and improving patient outcomes through rigorous scientific methodology.</w:t>
      </w:r>
    </w:p>
    <w:p>
      <w:pPr>
        <w:pStyle w:val="BodyText"/>
      </w:pPr>
      <w:r>
        <w:t xml:space="preserve">If you have any questions regarding this invoice or the services provided, please contact our billing department at billing@kyotobiomed.jp or call +81-75-753-4567 during business hours (Monday-Friday, 9:00 AM - 5:00 PM JST).</w:t>
      </w:r>
    </w:p>
    <w:bookmarkEnd w:id="24"/>
    <w:p>
      <w:pPr>
        <w:pStyle w:val="BodyText"/>
      </w:pPr>
      <w:r>
        <w:t xml:space="preserve">Kyoto Biomedical Research Institute Co., Ltd. | Registered in Japan | Corporate Number: 4010001234567</w:t>
      </w:r>
    </w:p>
    <w:p>
      <w:pPr>
        <w:pStyle w:val="BodyText"/>
      </w:pPr>
      <w:r>
        <w:t xml:space="preserve">This invoice is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Kyoto, Japan</dc:title>
  <dc:creator/>
  <dc:language>en</dc:language>
  <cp:keywords/>
  <dcterms:created xsi:type="dcterms:W3CDTF">2026-10-10T08:13:21Z</dcterms:created>
  <dcterms:modified xsi:type="dcterms:W3CDTF">2026-10-10T08:13:21Z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