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Medical</w:t>
      </w:r>
      <w:r>
        <w:t xml:space="preserve"> </w:t>
      </w:r>
      <w:r>
        <w:t xml:space="preserve">Researcher</w:t>
      </w:r>
      <w:r>
        <w:t xml:space="preserve"> </w:t>
      </w:r>
      <w:r>
        <w:t xml:space="preserve">Services</w:t>
      </w:r>
    </w:p>
    <w:bookmarkStart w:id="20" w:name="amsterdam-biosciences-research-group"/>
    <w:p>
      <w:pPr>
        <w:pStyle w:val="Heading1"/>
      </w:pPr>
      <w:r>
        <w:t xml:space="preserve">Amsterdam BioSciences Research Group</w:t>
      </w:r>
    </w:p>
    <w:p>
      <w:pPr>
        <w:pStyle w:val="FirstParagraph"/>
      </w:pPr>
      <w:r>
        <w:t xml:space="preserve">Keizersgracht 123, 1015 CJ Amsterdam, Netherlands</w:t>
      </w:r>
    </w:p>
    <w:p>
      <w:pPr>
        <w:pStyle w:val="BodyText"/>
      </w:pPr>
      <w:r>
        <w:t xml:space="preserve">KVK: 34567890 | VAT ID: NL856789012B01</w:t>
      </w:r>
    </w:p>
    <w:p>
      <w:pPr>
        <w:pStyle w:val="BodyText"/>
      </w:pPr>
      <w:r>
        <w:t xml:space="preserve">Email: billing@amsterdambiosciences.nl</w:t>
      </w:r>
    </w:p>
    <w:p>
      <w:pPr>
        <w:pStyle w:val="BodyText"/>
      </w:pPr>
      <w:r>
        <w:t xml:space="preserve">Phone: +31 20 123 4567</w:t>
      </w:r>
    </w:p>
    <w:bookmarkEnd w:id="20"/>
    <w:bookmarkStart w:id="21" w:name="invoice"/>
    <w:p>
      <w:pPr>
        <w:pStyle w:val="Heading2"/>
      </w:pPr>
      <w:r>
        <w:t xml:space="preserve">INVOICE</w:t>
      </w:r>
    </w:p>
    <w:p>
      <w:pPr>
        <w:pStyle w:val="FirstParagraph"/>
      </w:pPr>
      <w:r>
        <w:rPr>
          <w:bCs/>
          <w:b/>
        </w:rPr>
        <w:t xml:space="preserve">Invoice Number:</w:t>
      </w:r>
      <w:r>
        <w:t xml:space="preserve"> </w:t>
      </w:r>
      <w:r>
        <w:t xml:space="preserve">INV-2023-10-045</w:t>
      </w:r>
    </w:p>
    <w:p>
      <w:pPr>
        <w:pStyle w:val="BodyText"/>
      </w:pPr>
      <w:r>
        <w:rPr>
          <w:bCs/>
          <w:b/>
        </w:rPr>
        <w:t xml:space="preserve">Date of Issue:</w:t>
      </w:r>
      <w:r>
        <w:t xml:space="preserve"> </w:t>
      </w:r>
      <w:r>
        <w:t xml:space="preserve">October 24, 2023</w:t>
      </w:r>
    </w:p>
    <w:p>
      <w:pPr>
        <w:pStyle w:val="BodyText"/>
      </w:pPr>
      <w:r>
        <w:rPr>
          <w:bCs/>
          <w:b/>
        </w:rPr>
        <w:t xml:space="preserve">Due Date:</w:t>
      </w:r>
      <w:r>
        <w:t xml:space="preserve"> </w:t>
      </w:r>
      <w:r>
        <w:t xml:space="preserve">November 24, 2023</w:t>
      </w:r>
    </w:p>
    <w:p>
      <w:pPr>
        <w:pStyle w:val="BodyText"/>
      </w:pPr>
      <w:r>
        <w:rPr>
          <w:bCs/>
          <w:b/>
        </w:rPr>
        <w:t xml:space="preserve">Project Reference:</w:t>
      </w:r>
      <w:r>
        <w:t xml:space="preserve"> </w:t>
      </w:r>
      <w:r>
        <w:t xml:space="preserve">MR-AMST-2023-Q4</w:t>
      </w:r>
    </w:p>
    <w:bookmarkEnd w:id="21"/>
    <w:bookmarkStart w:id="22" w:name="bill-to"/>
    <w:p>
      <w:pPr>
        <w:pStyle w:val="Heading3"/>
      </w:pPr>
      <w:r>
        <w:t xml:space="preserve">Bill To:</w:t>
      </w:r>
    </w:p>
    <w:p>
      <w:pPr>
        <w:pStyle w:val="FirstParagraph"/>
      </w:pPr>
      <w:r>
        <w:rPr>
          <w:bCs/>
          <w:b/>
        </w:rPr>
        <w:t xml:space="preserve">European Clinical Trials Consortium</w:t>
      </w:r>
    </w:p>
    <w:p>
      <w:pPr>
        <w:pStyle w:val="BodyText"/>
      </w:pPr>
      <w:r>
        <w:t xml:space="preserve">Attention: Procurement Department</w:t>
      </w:r>
    </w:p>
    <w:p>
      <w:pPr>
        <w:pStyle w:val="BodyText"/>
      </w:pPr>
      <w:r>
        <w:t xml:space="preserve">Herengracht 456, 1017 CA Amsterdam, Netherlands</w:t>
      </w:r>
    </w:p>
    <w:p>
      <w:pPr>
        <w:pStyle w:val="BodyText"/>
      </w:pPr>
      <w:r>
        <w:t xml:space="preserve">VAT ID: NL987654321B01</w:t>
      </w:r>
    </w:p>
    <w:bookmarkEnd w:id="22"/>
    <w:tbl>
      <w:tblPr>
        <w:tblStyle w:val="Table"/>
        <w:tblW w:type="pct" w:w="500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Description of Services</w:t>
            </w:r>
          </w:p>
        </w:tc>
        <w:tc>
          <w:tcPr/>
          <w:p>
            <w:pPr>
              <w:pStyle w:val="Compact"/>
              <w:jc w:val="left"/>
            </w:pPr>
            <w:r>
              <w:t xml:space="preserve">Hours / Qty</w:t>
            </w:r>
          </w:p>
        </w:tc>
        <w:tc>
          <w:tcPr/>
          <w:p>
            <w:pPr>
              <w:pStyle w:val="Compact"/>
              <w:jc w:val="left"/>
            </w:pPr>
            <w:r>
              <w:t xml:space="preserve">Rate (EUR)</w:t>
            </w:r>
          </w:p>
        </w:tc>
        <w:tc>
          <w:tcPr/>
          <w:p>
            <w:pPr>
              <w:pStyle w:val="Compact"/>
              <w:jc w:val="left"/>
            </w:pPr>
            <w:r>
              <w:t xml:space="preserve">Amount (EUR)</w:t>
            </w:r>
          </w:p>
        </w:tc>
      </w:tr>
      <w:tr>
        <w:tc>
          <w:tcPr/>
          <w:p>
            <w:pPr>
              <w:pStyle w:val="Compact"/>
              <w:jc w:val="left"/>
            </w:pPr>
            <w:r>
              <w:rPr>
                <w:bCs/>
                <w:b/>
              </w:rPr>
              <w:t xml:space="preserve">Senior Medical Researcher Consultation</w:t>
            </w:r>
            <w:r>
              <w:br/>
            </w:r>
            <w:r>
              <w:t xml:space="preserve">Comprehensive analysis of clinical trial data for Phase II oncology study. This service includes the statistical evaluation of patient response rates, adverse event monitoring, and the drafting of preliminary findings in accordance with Dutch Medical Research Involving Human Subjects Act (WMO) guidelines.</w:t>
            </w:r>
          </w:p>
        </w:tc>
        <w:tc>
          <w:tcPr/>
          <w:p>
            <w:pPr>
              <w:pStyle w:val="Compact"/>
              <w:jc w:val="left"/>
            </w:pPr>
            <w:r>
              <w:t xml:space="preserve">40.0</w:t>
            </w:r>
          </w:p>
        </w:tc>
        <w:tc>
          <w:tcPr/>
          <w:p>
            <w:pPr>
              <w:pStyle w:val="Compact"/>
              <w:jc w:val="left"/>
            </w:pPr>
            <w:r>
              <w:t xml:space="preserve">125.00</w:t>
            </w:r>
          </w:p>
        </w:tc>
        <w:tc>
          <w:tcPr/>
          <w:p>
            <w:pPr>
              <w:pStyle w:val="Compact"/>
              <w:jc w:val="left"/>
            </w:pPr>
            <w:r>
              <w:t xml:space="preserve">5,000.00</w:t>
            </w:r>
          </w:p>
        </w:tc>
      </w:tr>
      <w:tr>
        <w:tc>
          <w:tcPr/>
          <w:p>
            <w:pPr>
              <w:pStyle w:val="Compact"/>
              <w:jc w:val="left"/>
            </w:pPr>
            <w:r>
              <w:rPr>
                <w:bCs/>
                <w:b/>
              </w:rPr>
              <w:t xml:space="preserve">Regulatory Compliance Review</w:t>
            </w:r>
            <w:r>
              <w:br/>
            </w:r>
            <w:r>
              <w:t xml:space="preserve">Detailed review of research protocols to ensure full compliance with European Medicines Agency (EMA) standards and local Amsterdam municipal health regulations. Includes preparation of documentation for the Medical Ethics Committee (METC).</w:t>
            </w:r>
          </w:p>
        </w:tc>
        <w:tc>
          <w:tcPr/>
          <w:p>
            <w:pPr>
              <w:pStyle w:val="Compact"/>
              <w:jc w:val="left"/>
            </w:pPr>
            <w:r>
              <w:t xml:space="preserve">15.0</w:t>
            </w:r>
          </w:p>
        </w:tc>
        <w:tc>
          <w:tcPr/>
          <w:p>
            <w:pPr>
              <w:pStyle w:val="Compact"/>
              <w:jc w:val="left"/>
            </w:pPr>
            <w:r>
              <w:t xml:space="preserve">150.00</w:t>
            </w:r>
          </w:p>
        </w:tc>
        <w:tc>
          <w:tcPr/>
          <w:p>
            <w:pPr>
              <w:pStyle w:val="Compact"/>
              <w:jc w:val="left"/>
            </w:pPr>
            <w:r>
              <w:t xml:space="preserve">2,250.00</w:t>
            </w:r>
          </w:p>
        </w:tc>
      </w:tr>
      <w:tr>
        <w:tc>
          <w:tcPr/>
          <w:p>
            <w:pPr>
              <w:pStyle w:val="Compact"/>
              <w:jc w:val="left"/>
            </w:pPr>
            <w:r>
              <w:rPr>
                <w:bCs/>
                <w:b/>
              </w:rPr>
              <w:t xml:space="preserve">Biostatistical Modeling</w:t>
            </w:r>
            <w:r>
              <w:br/>
            </w:r>
            <w:r>
              <w:t xml:space="preserve">Development of predictive models for drug efficacy using R and Python. This task involves cleaning large datasets collected from Amsterdam UMC locations and generating visual reports for stakeholder presentation.</w:t>
            </w:r>
          </w:p>
        </w:tc>
        <w:tc>
          <w:tcPr/>
          <w:p>
            <w:pPr>
              <w:pStyle w:val="Compact"/>
              <w:jc w:val="left"/>
            </w:pPr>
            <w:r>
              <w:t xml:space="preserve">25.0</w:t>
            </w:r>
          </w:p>
        </w:tc>
        <w:tc>
          <w:tcPr/>
          <w:p>
            <w:pPr>
              <w:pStyle w:val="Compact"/>
              <w:jc w:val="left"/>
            </w:pPr>
            <w:r>
              <w:t xml:space="preserve">135.00</w:t>
            </w:r>
          </w:p>
        </w:tc>
        <w:tc>
          <w:tcPr/>
          <w:p>
            <w:pPr>
              <w:pStyle w:val="Compact"/>
              <w:jc w:val="left"/>
            </w:pPr>
            <w:r>
              <w:t xml:space="preserve">3,375.00</w:t>
            </w:r>
          </w:p>
        </w:tc>
      </w:tr>
      <w:tr>
        <w:tc>
          <w:tcPr/>
          <w:p>
            <w:pPr>
              <w:pStyle w:val="Compact"/>
              <w:jc w:val="left"/>
            </w:pPr>
            <w:r>
              <w:rPr>
                <w:bCs/>
                <w:b/>
              </w:rPr>
              <w:t xml:space="preserve">Medical Writing and Publication Support</w:t>
            </w:r>
            <w:r>
              <w:br/>
            </w:r>
            <w:r>
              <w:t xml:space="preserve">Drafting of manuscript sections for submission to peer-reviewed journals. Focus on methodology and results interpretation. Includes editing for clarity, tone, and adherence to ICMJE recommendations.</w:t>
            </w:r>
          </w:p>
        </w:tc>
        <w:tc>
          <w:tcPr/>
          <w:p>
            <w:pPr>
              <w:pStyle w:val="Compact"/>
              <w:jc w:val="left"/>
            </w:pPr>
            <w:r>
              <w:t xml:space="preserve">20.0</w:t>
            </w:r>
          </w:p>
        </w:tc>
        <w:tc>
          <w:tcPr/>
          <w:p>
            <w:pPr>
              <w:pStyle w:val="Compact"/>
              <w:jc w:val="left"/>
            </w:pPr>
            <w:r>
              <w:t xml:space="preserve">110.00</w:t>
            </w:r>
          </w:p>
        </w:tc>
        <w:tc>
          <w:tcPr/>
          <w:p>
            <w:pPr>
              <w:pStyle w:val="Compact"/>
              <w:jc w:val="left"/>
            </w:pPr>
            <w:r>
              <w:t xml:space="preserve">2,200.00</w:t>
            </w:r>
          </w:p>
        </w:tc>
      </w:tr>
      <w:tr>
        <w:tc>
          <w:tcPr/>
          <w:p>
            <w:pPr>
              <w:pStyle w:val="Compact"/>
              <w:jc w:val="left"/>
            </w:pPr>
            <w:r>
              <w:rPr>
                <w:bCs/>
                <w:b/>
              </w:rPr>
              <w:t xml:space="preserve">Lab Equipment Calibration Oversight</w:t>
            </w:r>
            <w:r>
              <w:br/>
            </w:r>
            <w:r>
              <w:t xml:space="preserve">Supervision of the calibration process for high-throughput sequencers located at the Amsterdam research facility. Ensuring data integrity and equipment reliability for ongoing genomic research projects.</w:t>
            </w:r>
          </w:p>
        </w:tc>
        <w:tc>
          <w:tcPr/>
          <w:p>
            <w:pPr>
              <w:pStyle w:val="Compact"/>
              <w:jc w:val="left"/>
            </w:pPr>
            <w:r>
              <w:t xml:space="preserve">5.0</w:t>
            </w:r>
          </w:p>
        </w:tc>
        <w:tc>
          <w:tcPr/>
          <w:p>
            <w:pPr>
              <w:pStyle w:val="Compact"/>
              <w:jc w:val="left"/>
            </w:pPr>
            <w:r>
              <w:t xml:space="preserve">140.00</w:t>
            </w:r>
          </w:p>
        </w:tc>
        <w:tc>
          <w:tcPr/>
          <w:p>
            <w:pPr>
              <w:pStyle w:val="Compact"/>
              <w:jc w:val="left"/>
            </w:pPr>
            <w:r>
              <w:t xml:space="preserve">700.00</w:t>
            </w:r>
          </w:p>
        </w:tc>
      </w:tr>
    </w:tbl>
    <w:p>
      <w:pPr>
        <w:pStyle w:val="BodyText"/>
      </w:pPr>
      <w:r>
        <w:t xml:space="preserve">Subtotal:</w:t>
      </w:r>
      <w:r>
        <w:t xml:space="preserve"> </w:t>
      </w:r>
      <w:r>
        <w:t xml:space="preserve">13,525.00 EUR</w:t>
      </w:r>
    </w:p>
    <w:p>
      <w:pPr>
        <w:pStyle w:val="BodyText"/>
      </w:pPr>
      <w:r>
        <w:t xml:space="preserve">VAT (21% - Netherlands Standard Rate):</w:t>
      </w:r>
      <w:r>
        <w:t xml:space="preserve"> </w:t>
      </w:r>
      <w:r>
        <w:t xml:space="preserve">2,840.25 EUR</w:t>
      </w:r>
    </w:p>
    <w:p>
      <w:pPr>
        <w:pStyle w:val="BodyText"/>
      </w:pPr>
      <w:r>
        <w:t xml:space="preserve">Total Due:</w:t>
      </w:r>
      <w:r>
        <w:t xml:space="preserve"> </w:t>
      </w:r>
      <w:r>
        <w:t xml:space="preserve">16,365.25 EUR</w:t>
      </w:r>
    </w:p>
    <w:bookmarkStart w:id="23" w:name="payment-instructions"/>
    <w:p>
      <w:pPr>
        <w:pStyle w:val="Heading4"/>
      </w:pPr>
      <w:r>
        <w:t xml:space="preserve">Payment Instructions</w:t>
      </w:r>
    </w:p>
    <w:p>
      <w:pPr>
        <w:pStyle w:val="FirstParagraph"/>
      </w:pPr>
      <w:r>
        <w:t xml:space="preserve">Please transfer the total amount to the following bank account within 30 days of the invoice date.</w:t>
      </w:r>
    </w:p>
    <w:p>
      <w:pPr>
        <w:pStyle w:val="BodyText"/>
      </w:pPr>
      <w:r>
        <w:rPr>
          <w:bCs/>
          <w:b/>
        </w:rPr>
        <w:t xml:space="preserve">Bank Name:</w:t>
      </w:r>
      <w:r>
        <w:t xml:space="preserve"> </w:t>
      </w:r>
      <w:r>
        <w:t xml:space="preserve">ING Bank N.V.</w:t>
      </w:r>
    </w:p>
    <w:p>
      <w:pPr>
        <w:pStyle w:val="BodyText"/>
      </w:pPr>
      <w:r>
        <w:rPr>
          <w:bCs/>
          <w:b/>
        </w:rPr>
        <w:t xml:space="preserve">Account Name:</w:t>
      </w:r>
      <w:r>
        <w:t xml:space="preserve"> </w:t>
      </w:r>
      <w:r>
        <w:t xml:space="preserve">Amsterdam BioSciences Research Group B.V.</w:t>
      </w:r>
    </w:p>
    <w:p>
      <w:pPr>
        <w:pStyle w:val="BodyText"/>
      </w:pPr>
      <w:r>
        <w:rPr>
          <w:bCs/>
          <w:b/>
        </w:rPr>
        <w:t xml:space="preserve">IBAN:</w:t>
      </w:r>
      <w:r>
        <w:t xml:space="preserve"> </w:t>
      </w:r>
      <w:r>
        <w:t xml:space="preserve">NL91 INGB 0001 2345 67</w:t>
      </w:r>
    </w:p>
    <w:p>
      <w:pPr>
        <w:pStyle w:val="BodyText"/>
      </w:pPr>
      <w:r>
        <w:rPr>
          <w:bCs/>
          <w:b/>
        </w:rPr>
        <w:t xml:space="preserve">BIC/SWIFT:</w:t>
      </w:r>
      <w:r>
        <w:t xml:space="preserve"> </w:t>
      </w:r>
      <w:r>
        <w:t xml:space="preserve">INGBNL2A</w:t>
      </w:r>
    </w:p>
    <w:p>
      <w:pPr>
        <w:pStyle w:val="BodyText"/>
      </w:pPr>
      <w:r>
        <w:rPr>
          <w:bCs/>
          <w:b/>
        </w:rPr>
        <w:t xml:space="preserve">Reference:</w:t>
      </w:r>
      <w:r>
        <w:t xml:space="preserve"> </w:t>
      </w:r>
      <w:r>
        <w:t xml:space="preserve">INV-2023-10-045</w:t>
      </w:r>
    </w:p>
    <w:bookmarkEnd w:id="23"/>
    <w:bookmarkStart w:id="24" w:name="terms-and-conditions-notes"/>
    <w:p>
      <w:pPr>
        <w:pStyle w:val="Heading4"/>
      </w:pPr>
      <w:r>
        <w:t xml:space="preserve">Terms and Conditions &amp; Notes</w:t>
      </w:r>
    </w:p>
    <w:p>
      <w:pPr>
        <w:pStyle w:val="FirstParagraph"/>
      </w:pPr>
      <w:r>
        <w:t xml:space="preserve">1.</w:t>
      </w:r>
      <w:r>
        <w:t xml:space="preserve"> </w:t>
      </w:r>
      <w:r>
        <w:rPr>
          <w:bCs/>
          <w:b/>
        </w:rPr>
        <w:t xml:space="preserve">Payment Terms:</w:t>
      </w:r>
      <w:r>
        <w:t xml:space="preserve"> </w:t>
      </w:r>
      <w:r>
        <w:t xml:space="preserve">Payment is due within 30 days of the invoice date. Late payments may incur interest at the statutory rate applicable in the Netherlands.</w:t>
      </w:r>
    </w:p>
    <w:p>
      <w:pPr>
        <w:pStyle w:val="BodyText"/>
      </w:pPr>
      <w:r>
        <w:t xml:space="preserve">2.</w:t>
      </w:r>
      <w:r>
        <w:t xml:space="preserve"> </w:t>
      </w:r>
      <w:r>
        <w:rPr>
          <w:bCs/>
          <w:b/>
        </w:rPr>
        <w:t xml:space="preserve">Scope of Work:</w:t>
      </w:r>
      <w:r>
        <w:t xml:space="preserve"> </w:t>
      </w:r>
      <w:r>
        <w:t xml:space="preserve">This invoice covers the services rendered by our certified Medical Researcher team during the period of October 1, 2023, to October 23, 2023. All work was conducted in compliance with the highest ethical standards required for medical research in Amsterdam.</w:t>
      </w:r>
    </w:p>
    <w:p>
      <w:pPr>
        <w:pStyle w:val="BodyText"/>
      </w:pPr>
      <w:r>
        <w:t xml:space="preserve">3.</w:t>
      </w:r>
      <w:r>
        <w:t xml:space="preserve"> </w:t>
      </w:r>
      <w:r>
        <w:rPr>
          <w:bCs/>
          <w:b/>
        </w:rPr>
        <w:t xml:space="preserve">Data Privacy:</w:t>
      </w:r>
      <w:r>
        <w:t xml:space="preserve"> </w:t>
      </w:r>
      <w:r>
        <w:t xml:space="preserve">All patient data and research information handled during these services have been processed in strict accordance with the General Data Protection Regulation (GDPR) and Dutch privacy laws.</w:t>
      </w:r>
    </w:p>
    <w:p>
      <w:pPr>
        <w:pStyle w:val="BodyText"/>
      </w:pPr>
      <w:r>
        <w:t xml:space="preserve">4.</w:t>
      </w:r>
      <w:r>
        <w:t xml:space="preserve"> </w:t>
      </w:r>
      <w:r>
        <w:rPr>
          <w:bCs/>
          <w:b/>
        </w:rPr>
        <w:t xml:space="preserve">Disputes:</w:t>
      </w:r>
      <w:r>
        <w:t xml:space="preserve"> </w:t>
      </w:r>
      <w:r>
        <w:t xml:space="preserve">Any discrepancies regarding this invoice must be reported in writing within 14 days of receipt. Please contact our finance department at billing@amsterdambiosciences.nl.</w:t>
      </w:r>
    </w:p>
    <w:p>
      <w:pPr>
        <w:pStyle w:val="BodyText"/>
      </w:pPr>
      <w:r>
        <w:t xml:space="preserve">5.</w:t>
      </w:r>
      <w:r>
        <w:t xml:space="preserve"> </w:t>
      </w:r>
      <w:r>
        <w:rPr>
          <w:bCs/>
          <w:b/>
        </w:rPr>
        <w:t xml:space="preserve">Intellectual Property:</w:t>
      </w:r>
      <w:r>
        <w:t xml:space="preserve"> </w:t>
      </w:r>
      <w:r>
        <w:t xml:space="preserve">Upon full payment, all deliverables, including reports, data analysis, and manuscripts, become the property of the client, subject to the terms of the master service agreement.</w:t>
      </w:r>
    </w:p>
    <w:p>
      <w:pPr>
        <w:pStyle w:val="BodyText"/>
      </w:pPr>
      <w:r>
        <w:t xml:space="preserve">6.</w:t>
      </w:r>
      <w:r>
        <w:t xml:space="preserve"> </w:t>
      </w:r>
      <w:r>
        <w:rPr>
          <w:bCs/>
          <w:b/>
        </w:rPr>
        <w:t xml:space="preserve">Validity:</w:t>
      </w:r>
      <w:r>
        <w:t xml:space="preserve"> </w:t>
      </w:r>
      <w:r>
        <w:t xml:space="preserve">This invoice is valid for 90 days from the date of issue. After this period, a new invoice may be issued.</w:t>
      </w:r>
    </w:p>
    <w:p>
      <w:pPr>
        <w:pStyle w:val="BodyText"/>
      </w:pPr>
      <w:r>
        <w:t xml:space="preserve">7.</w:t>
      </w:r>
      <w:r>
        <w:t xml:space="preserve"> </w:t>
      </w:r>
      <w:r>
        <w:rPr>
          <w:bCs/>
          <w:b/>
        </w:rPr>
        <w:t xml:space="preserve">Contact:</w:t>
      </w:r>
      <w:r>
        <w:t xml:space="preserve"> </w:t>
      </w:r>
      <w:r>
        <w:t xml:space="preserve">For any questions regarding this invoice or the services provided by our Medical Researcher staff, please do not hesitate to contact us.</w:t>
      </w:r>
    </w:p>
    <w:bookmarkEnd w:id="24"/>
    <w:p>
      <w:pPr>
        <w:pStyle w:val="BodyText"/>
      </w:pPr>
      <w:r>
        <w:t xml:space="preserve">Thank you for your business. We appreciate your trust in our Medical Researcher services.</w:t>
      </w:r>
    </w:p>
    <w:p>
      <w:pPr>
        <w:pStyle w:val="BodyText"/>
      </w:pPr>
      <w:r>
        <w:t xml:space="preserve">Amsterdam BioSciences Research Group B.V. | Registered in Amsterdam, Netherlands</w:t>
      </w:r>
    </w:p>
    <w:p>
      <w:pPr>
        <w:pStyle w:val="BodyText"/>
      </w:pPr>
      <w:r>
        <w:t xml:space="preserve">This is a computer-generated invoice and does not require a signature.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Medical Researcher Services</dc:title>
  <dc:creator/>
  <dc:language>en</dc:language>
  <cp:keywords/>
  <dcterms:created xsi:type="dcterms:W3CDTF">2026-10-10T02:44:03Z</dcterms:created>
  <dcterms:modified xsi:type="dcterms:W3CDTF">2026-10-10T02:44:03Z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