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Doha,</w:t>
      </w:r>
      <w:r>
        <w:t xml:space="preserve"> </w:t>
      </w:r>
      <w:r>
        <w:t xml:space="preserve">Qatar</w:t>
      </w:r>
    </w:p>
    <w:bookmarkStart w:id="20" w:name="Xe9c20be6a459b09a66bbd1784b629e154f19a87"/>
    <w:p>
      <w:pPr>
        <w:pStyle w:val="Heading1"/>
      </w:pPr>
      <w:r>
        <w:t xml:space="preserve">Qatar Advanced Biomedical Research Institute</w:t>
      </w:r>
    </w:p>
    <w:p>
      <w:pPr>
        <w:pStyle w:val="FirstParagraph"/>
      </w:pPr>
      <w:r>
        <w:rPr>
          <w:bCs/>
          <w:b/>
        </w:rPr>
        <w:t xml:space="preserve">Principal Investigator:</w:t>
      </w:r>
      <w:r>
        <w:t xml:space="preserve"> </w:t>
      </w:r>
      <w:r>
        <w:t xml:space="preserve">Dr. Sarah Al-Mansoori</w:t>
      </w:r>
    </w:p>
    <w:p>
      <w:pPr>
        <w:pStyle w:val="BodyText"/>
      </w:pPr>
      <w:r>
        <w:rPr>
          <w:bCs/>
          <w:b/>
        </w:rPr>
        <w:t xml:space="preserve">Role:</w:t>
      </w:r>
      <w:r>
        <w:t xml:space="preserve"> </w:t>
      </w:r>
      <w:r>
        <w:t xml:space="preserve">Senior Medical Researcher</w:t>
      </w:r>
    </w:p>
    <w:p>
      <w:pPr>
        <w:pStyle w:val="BodyText"/>
      </w:pPr>
      <w:r>
        <w:t xml:space="preserve">Building 14, Education City, Doha, Qatar</w:t>
      </w:r>
    </w:p>
    <w:p>
      <w:pPr>
        <w:pStyle w:val="BodyText"/>
      </w:pPr>
      <w:r>
        <w:t xml:space="preserve">P.O. Box 23888</w:t>
      </w:r>
    </w:p>
    <w:p>
      <w:pPr>
        <w:pStyle w:val="BodyText"/>
      </w:pPr>
      <w:r>
        <w:t xml:space="preserve">Email: billing@qabri.qa | Phone: +974 4400 1234</w:t>
      </w:r>
    </w:p>
    <w:p>
      <w:pPr>
        <w:pStyle w:val="BodyText"/>
      </w:pPr>
      <w:r>
        <w:t xml:space="preserve">Commercial Registration: CR-99887766-QA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INV-QA-2023-089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MR-DHA-GENOMICS-04</w:t>
      </w:r>
    </w:p>
    <w:bookmarkEnd w:id="21"/>
    <w:p>
      <w:pPr>
        <w:pStyle w:val="BodyText"/>
      </w:pPr>
      <w:r>
        <w:t xml:space="preserve">Bill To:</w:t>
      </w:r>
    </w:p>
    <w:p>
      <w:pPr>
        <w:pStyle w:val="BodyText"/>
      </w:pPr>
      <w:r>
        <w:rPr>
          <w:bCs/>
          <w:b/>
        </w:rPr>
        <w:t xml:space="preserve">Hamad Medical Corporation</w:t>
      </w:r>
    </w:p>
    <w:p>
      <w:pPr>
        <w:pStyle w:val="BodyText"/>
      </w:pPr>
      <w:r>
        <w:t xml:space="preserve">Department of Clinical Research &amp; Innovation</w:t>
      </w:r>
    </w:p>
    <w:p>
      <w:pPr>
        <w:pStyle w:val="BodyText"/>
      </w:pPr>
      <w:r>
        <w:t xml:space="preserve">PO Box 3050, Doha, Qatar</w:t>
      </w:r>
    </w:p>
    <w:p>
      <w:pPr>
        <w:pStyle w:val="BodyText"/>
      </w:pPr>
      <w:r>
        <w:t xml:space="preserve">Attn: Procurement Department</w:t>
      </w:r>
    </w:p>
    <w:p>
      <w:pPr>
        <w:pStyle w:val="BodyText"/>
      </w:pPr>
      <w:r>
        <w:t xml:space="preserve">Email: procurement@hamad.qa</w:t>
      </w:r>
    </w:p>
    <w:p>
      <w:pPr>
        <w:pStyle w:val="BodyText"/>
      </w:pPr>
      <w:r>
        <w:t xml:space="preserve">Description of Professional Services Rendered</w:t>
      </w:r>
    </w:p>
    <w:p>
      <w:pPr>
        <w:pStyle w:val="BodyText"/>
      </w:pPr>
      <w:r>
        <w:t xml:space="preserve">This Invoice details the professional consultancy and execution services provided by the undersigned Medical Researcher. These services were conducted in strict adherence to the ethical guidelines of the Ministry of Public Health Qatar and the specific requirements of the research grant allocated within Doha. The scope of work includes advanced clinical data analysis, genomic sequencing interpretation, and the drafting of peer-reviewed manuscripts regarding metabolic disorders prevalent in the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(QAR)</w:t>
            </w:r>
          </w:p>
        </w:tc>
        <w:tc>
          <w:tcPr/>
          <w:p>
            <w:pPr>
              <w:pStyle w:val="Compact"/>
              <w:jc w:val="left"/>
            </w:pPr>
            <w:r>
              <w:t xml:space="preserve">Total (QAR)</w:t>
            </w:r>
          </w:p>
        </w:tc>
      </w:tr>
      <w:tr>
        <w:tc>
          <w:tcPr/>
          <w:p>
            <w:pPr>
              <w:pStyle w:val="Compact"/>
              <w:jc w:val="left"/>
            </w:pPr>
            <w:r>
              <w:t xml:space="preserve">1</w:t>
            </w:r>
          </w:p>
        </w:tc>
        <w:tc>
          <w:tcPr/>
          <w:p>
            <w:pPr>
              <w:pStyle w:val="Compact"/>
              <w:jc w:val="left"/>
            </w:pPr>
            <w:r>
              <w:rPr>
                <w:bCs/>
                <w:b/>
              </w:rPr>
              <w:t xml:space="preserve">Phase I Clinical Data Analysis:</w:t>
            </w:r>
            <w:r>
              <w:t xml:space="preserve"> </w:t>
            </w:r>
            <w:r>
              <w:t xml:space="preserve">Comprehensive statistical analysis of patient cohorts collected at Hamad General Hospital. Utilization of SAS and R programming for longitudinal data assessment.</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Genomic Sequencing Interpretation:</w:t>
            </w:r>
            <w:r>
              <w:t xml:space="preserve"> </w:t>
            </w:r>
            <w:r>
              <w:t xml:space="preserve">Review and interpretation of Next-Generation Sequencing (NGS) results for hereditary metabolic conditions. Cross-referencing with Qatar Genome Programme databases.</w:t>
            </w:r>
          </w:p>
        </w:tc>
        <w:tc>
          <w:tcPr/>
          <w:p>
            <w:pPr>
              <w:pStyle w:val="Compact"/>
              <w:jc w:val="left"/>
            </w:pPr>
            <w:r>
              <w:t xml:space="preserve">25</w:t>
            </w:r>
          </w:p>
        </w:tc>
        <w:tc>
          <w:tcPr/>
          <w:p>
            <w:pPr>
              <w:pStyle w:val="Compact"/>
              <w:jc w:val="left"/>
            </w:pPr>
            <w:r>
              <w:t xml:space="preserve">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Regulatory Compliance &amp; Ethics Reporting:</w:t>
            </w:r>
            <w:r>
              <w:t xml:space="preserve"> </w:t>
            </w:r>
            <w:r>
              <w:t xml:space="preserve">Preparation of documentation required by the Institutional Review Board (IRB) in Doha. Ensuring all research protocols align with Qatar's National Research Ethics Committee standards.</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Manuscript Preparation:</w:t>
            </w:r>
            <w:r>
              <w:t xml:space="preserve"> </w:t>
            </w:r>
            <w:r>
              <w:t xml:space="preserve">Drafting of the primary research paper for submission to a high-impact international medical journal. Includes literature review, figure generation, and abstract writing.</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5</w:t>
            </w:r>
          </w:p>
        </w:tc>
        <w:tc>
          <w:tcPr/>
          <w:p>
            <w:pPr>
              <w:pStyle w:val="Compact"/>
              <w:jc w:val="left"/>
            </w:pPr>
            <w:r>
              <w:rPr>
                <w:bCs/>
                <w:b/>
              </w:rPr>
              <w:t xml:space="preserve">Stakeholder Presentation:</w:t>
            </w:r>
            <w:r>
              <w:t xml:space="preserve"> </w:t>
            </w:r>
            <w:r>
              <w:t xml:space="preserve">Development and delivery of a technical presentation summarizing findings to the Medical Researcher advisory board in Doha.</w:t>
            </w:r>
          </w:p>
        </w:tc>
        <w:tc>
          <w:tcPr/>
          <w:p>
            <w:pPr>
              <w:pStyle w:val="Compact"/>
              <w:jc w:val="left"/>
            </w:pPr>
            <w:r>
              <w:t xml:space="preserve">5</w:t>
            </w:r>
          </w:p>
        </w:tc>
        <w:tc>
          <w:tcPr/>
          <w:p>
            <w:pPr>
              <w:pStyle w:val="Compact"/>
              <w:jc w:val="left"/>
            </w:pPr>
            <w:r>
              <w:t xml:space="preserve">600.00</w:t>
            </w:r>
          </w:p>
        </w:tc>
        <w:tc>
          <w:tcPr/>
          <w:p>
            <w:pPr>
              <w:pStyle w:val="Compact"/>
              <w:jc w:val="left"/>
            </w:pPr>
            <w:r>
              <w:t xml:space="preserve">3,000.00</w:t>
            </w:r>
          </w:p>
        </w:tc>
      </w:tr>
    </w:tbl>
    <w:p>
      <w:pPr>
        <w:pStyle w:val="BodyText"/>
      </w:pPr>
      <w:r>
        <w:t xml:space="preserve">Subtotal:</w:t>
      </w:r>
      <w:r>
        <w:t xml:space="preserve"> </w:t>
      </w:r>
      <w:r>
        <w:t xml:space="preserve">53,000.00 QAR</w:t>
      </w:r>
    </w:p>
    <w:p>
      <w:pPr>
        <w:pStyle w:val="BodyText"/>
      </w:pPr>
      <w:r>
        <w:t xml:space="preserve">VAT (0% - Exempt under Research Grant):</w:t>
      </w:r>
      <w:r>
        <w:t xml:space="preserve"> </w:t>
      </w:r>
      <w:r>
        <w:t xml:space="preserve">0.00 QAR</w:t>
      </w:r>
    </w:p>
    <w:p>
      <w:pPr>
        <w:pStyle w:val="BodyText"/>
      </w:pPr>
      <w:r>
        <w:t xml:space="preserve">Discount (Early Bird):</w:t>
      </w:r>
      <w:r>
        <w:t xml:space="preserve"> </w:t>
      </w:r>
      <w:r>
        <w:t xml:space="preserve">-1,000.00 QAR</w:t>
      </w:r>
    </w:p>
    <w:p>
      <w:pPr>
        <w:pStyle w:val="BodyText"/>
      </w:pPr>
      <w:r>
        <w:t xml:space="preserve">TOTAL DUE:</w:t>
      </w:r>
      <w:r>
        <w:t xml:space="preserve"> </w:t>
      </w:r>
      <w:r>
        <w:t xml:space="preserve">52,000.00 QAR</w:t>
      </w:r>
    </w:p>
    <w:bookmarkStart w:id="22" w:name="payment-terms-conditions"/>
    <w:p>
      <w:pPr>
        <w:pStyle w:val="Heading3"/>
      </w:pPr>
      <w:r>
        <w:t xml:space="preserve">Payment Terms &amp; Conditions</w:t>
      </w:r>
    </w:p>
    <w:p>
      <w:pPr>
        <w:pStyle w:val="FirstParagraph"/>
      </w:pPr>
      <w:r>
        <w:rPr>
          <w:bCs/>
          <w:b/>
        </w:rPr>
        <w:t xml:space="preserve">Currency:</w:t>
      </w:r>
      <w:r>
        <w:t xml:space="preserve"> </w:t>
      </w:r>
      <w:r>
        <w:t xml:space="preserve">All amounts are denominated in Qatari Riyals (QAR).</w:t>
      </w:r>
      <w:r>
        <w:br/>
      </w:r>
      <w:r>
        <w:rPr>
          <w:bCs/>
          <w:b/>
        </w:rPr>
        <w:t xml:space="preserve">Due Date:</w:t>
      </w:r>
      <w:r>
        <w:t xml:space="preserve"> </w:t>
      </w:r>
      <w:r>
        <w:t xml:space="preserve">Payment is due within 30 days of the Invoice date.</w:t>
      </w:r>
      <w:r>
        <w:br/>
      </w:r>
      <w:r>
        <w:rPr>
          <w:bCs/>
          <w:b/>
        </w:rPr>
        <w:t xml:space="preserve">Bank Details:</w:t>
      </w:r>
    </w:p>
    <w:p>
      <w:pPr>
        <w:pStyle w:val="BodyText"/>
      </w:pPr>
      <w:r>
        <w:t xml:space="preserve">Bank Name: Qatar National Bank (QNB)</w:t>
      </w:r>
      <w:r>
        <w:br/>
      </w:r>
      <w:r>
        <w:t xml:space="preserve">Account Name: Qatar Advanced Biomedical Research Institute</w:t>
      </w:r>
      <w:r>
        <w:br/>
      </w:r>
      <w:r>
        <w:t xml:space="preserve">IBAN: QA33 XXXX XXXX XXXX XXXX XXXX</w:t>
      </w:r>
      <w:r>
        <w:br/>
      </w:r>
      <w:r>
        <w:t xml:space="preserve">SWIFT/BIC: QNBQQAQA</w:t>
      </w:r>
    </w:p>
    <w:p>
      <w:pPr>
        <w:pStyle w:val="BodyText"/>
      </w:pPr>
      <w:r>
        <w:rPr>
          <w:bCs/>
          <w:b/>
        </w:rPr>
        <w:t xml:space="preserve">Important Note for Medical Researcher Services:</w:t>
      </w:r>
      <w:r>
        <w:br/>
      </w:r>
      <w:r>
        <w:t xml:space="preserve">This Invoice covers professional fees only. Reimbursement for laboratory consumables and sequencing costs will be submitted via a separate expense report (Ref: EXP-2023-089). Please ensure the Invoice number is referenced in your payment transfer memo to facilitate reconciliation within the Doha finance department.</w:t>
      </w:r>
    </w:p>
    <w:bookmarkEnd w:id="22"/>
    <w:p>
      <w:pPr>
        <w:pStyle w:val="BodyText"/>
      </w:pPr>
      <w:r>
        <w:t xml:space="preserve">Thank you for your continued partnership in advancing medical science in Qatar.</w:t>
      </w:r>
      <w:r>
        <w:br/>
      </w:r>
      <w:r>
        <w:t xml:space="preserve">This is a computer-generated Invoice and does not require a physical signature.</w:t>
      </w:r>
      <w:r>
        <w:br/>
      </w:r>
      <w:r>
        <w:t xml:space="preserve">Qatar Advanced Biomedical Research Institute |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Doha, Qatar</dc:title>
  <dc:creator/>
  <dc:language>en</dc:language>
  <cp:keywords/>
  <dcterms:created xsi:type="dcterms:W3CDTF">2026-10-10T10:21:27Z</dcterms:created>
  <dcterms:modified xsi:type="dcterms:W3CDTF">2026-10-10T10:21:27Z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