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Istanbul,</w:t>
      </w:r>
      <w:r>
        <w:t xml:space="preserve"> </w:t>
      </w:r>
      <w:r>
        <w:t xml:space="preserve">Turkey</w:t>
      </w:r>
    </w:p>
    <w:bookmarkStart w:id="20" w:name="bosphorus-medical-research-institute"/>
    <w:p>
      <w:pPr>
        <w:pStyle w:val="Heading1"/>
      </w:pPr>
      <w:r>
        <w:t xml:space="preserve">Bosphorus Medical Research Institute</w:t>
      </w:r>
    </w:p>
    <w:p>
      <w:pPr>
        <w:pStyle w:val="FirstParagraph"/>
      </w:pPr>
      <w:r>
        <w:rPr>
          <w:bCs/>
          <w:b/>
        </w:rPr>
        <w:t xml:space="preserve">Lead Medical Researcher:</w:t>
      </w:r>
      <w:r>
        <w:t xml:space="preserve"> </w:t>
      </w:r>
      <w:r>
        <w:t xml:space="preserve">Dr. Elif Yilmaz, Ph.D.</w:t>
      </w:r>
    </w:p>
    <w:p>
      <w:pPr>
        <w:pStyle w:val="BodyText"/>
      </w:pPr>
      <w:r>
        <w:t xml:space="preserve">Levent Mahallesi, Büyükdere Caddesi No: 198</w:t>
      </w:r>
    </w:p>
    <w:p>
      <w:pPr>
        <w:pStyle w:val="BodyText"/>
      </w:pPr>
      <w:r>
        <w:t xml:space="preserve">34394 Sarıyer, Istanbul, Turkey</w:t>
      </w:r>
    </w:p>
    <w:p>
      <w:pPr>
        <w:pStyle w:val="BodyText"/>
      </w:pPr>
      <w:r>
        <w:t xml:space="preserve">Tax ID (VKN): 123 456 78 90</w:t>
      </w:r>
    </w:p>
    <w:p>
      <w:pPr>
        <w:pStyle w:val="BodyText"/>
      </w:pPr>
      <w:r>
        <w:t xml:space="preserve">Email: billing@bosphorusmedresearch.com.tr</w:t>
      </w:r>
    </w:p>
    <w:p>
      <w:pPr>
        <w:pStyle w:val="BodyText"/>
      </w:pPr>
      <w:r>
        <w:t xml:space="preserve">Phone: +90 (212) 555 01 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INV-TR-2023-0892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p>
      <w:pPr>
        <w:pStyle w:val="BodyText"/>
      </w:pPr>
      <w:r>
        <w:t xml:space="preserve">Bill To:</w:t>
      </w:r>
    </w:p>
    <w:p>
      <w:pPr>
        <w:pStyle w:val="BodyText"/>
      </w:pPr>
      <w:r>
        <w:rPr>
          <w:bCs/>
          <w:b/>
        </w:rPr>
        <w:t xml:space="preserve">Global Health Solutions Ltd.</w:t>
      </w:r>
    </w:p>
    <w:p>
      <w:pPr>
        <w:pStyle w:val="BodyText"/>
      </w:pPr>
      <w:r>
        <w:t xml:space="preserve">Attn: Procurement Department</w:t>
      </w:r>
    </w:p>
    <w:p>
      <w:pPr>
        <w:pStyle w:val="BodyText"/>
      </w:pPr>
      <w:r>
        <w:t xml:space="preserve">15th Floor, Business Tower, Maslak</w:t>
      </w:r>
    </w:p>
    <w:p>
      <w:pPr>
        <w:pStyle w:val="BodyText"/>
      </w:pPr>
      <w:r>
        <w:t xml:space="preserve">34398 Istanbul, Turkey</w:t>
      </w:r>
    </w:p>
    <w:p>
      <w:pPr>
        <w:pStyle w:val="BodyText"/>
      </w:pPr>
      <w:r>
        <w:t xml:space="preserve">Tax ID (VKN): 987 654 32 10</w:t>
      </w:r>
    </w:p>
    <w:p>
      <w:pPr>
        <w:pStyle w:val="BodyText"/>
      </w:pPr>
      <w:r>
        <w:t xml:space="preserve">Description of Services Rendered</w:t>
      </w:r>
    </w:p>
    <w:p>
      <w:pPr>
        <w:pStyle w:val="BodyText"/>
      </w:pPr>
      <w:r>
        <w:t xml:space="preserve">This invoice covers professional consultancy and execution services provided by a certified Medical Researcher based in Istanbul, Turkey. The services were conducted in accordance with the Good Clinical Practice (GCP) guidelines and the regulations set forth by the Turkish Ministry of Health and the Istanbul University Medical Faculty ethics committee.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 / Hours</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rPr>
                <w:bCs/>
                <w:b/>
              </w:rPr>
              <w:t xml:space="preserve">Clinical Trial Protocol Development:</w:t>
            </w:r>
            <w:r>
              <w:br/>
            </w:r>
            <w:r>
              <w:t xml:space="preserve">Comprehensive drafting of the research protocol for the Phase II cardiovascular study. This includes literature review specific to the Turkish demographic, statistical analysis plan, and inclusion/exclusion criteria formulation.</w:t>
            </w:r>
          </w:p>
        </w:tc>
        <w:tc>
          <w:tcPr/>
          <w:p>
            <w:pPr>
              <w:pStyle w:val="Compact"/>
              <w:jc w:val="left"/>
            </w:pPr>
            <w:r>
              <w:t xml:space="preserve">40 Hours</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Ethics Committee Submission Management:</w:t>
            </w:r>
            <w:r>
              <w:br/>
            </w:r>
            <w:r>
              <w:t xml:space="preserve">Preparation and submission of documentation to the Istanbul Local Ethics Committee. Includes translation of documents into Turkish and liaison with regulatory bodies to ensure compliance with local laws.</w:t>
            </w:r>
          </w:p>
        </w:tc>
        <w:tc>
          <w:tcPr/>
          <w:p>
            <w:pPr>
              <w:pStyle w:val="Compact"/>
              <w:jc w:val="left"/>
            </w:pPr>
            <w:r>
              <w:t xml:space="preserve">15 Hours</w:t>
            </w:r>
          </w:p>
        </w:tc>
        <w:tc>
          <w:tcPr/>
          <w:p>
            <w:pPr>
              <w:pStyle w:val="Compact"/>
              <w:jc w:val="left"/>
            </w:pPr>
            <w:r>
              <w:t xml:space="preserve">1,500.00</w:t>
            </w:r>
          </w:p>
        </w:tc>
        <w:tc>
          <w:tcPr/>
          <w:p>
            <w:pPr>
              <w:pStyle w:val="Compact"/>
              <w:jc w:val="left"/>
            </w:pPr>
            <w:r>
              <w:t xml:space="preserve">22,500.00</w:t>
            </w:r>
          </w:p>
        </w:tc>
      </w:tr>
      <w:tr>
        <w:tc>
          <w:tcPr/>
          <w:p>
            <w:pPr>
              <w:pStyle w:val="Compact"/>
              <w:jc w:val="left"/>
            </w:pPr>
            <w:r>
              <w:t xml:space="preserve">3</w:t>
            </w:r>
          </w:p>
        </w:tc>
        <w:tc>
          <w:tcPr/>
          <w:p>
            <w:pPr>
              <w:pStyle w:val="Compact"/>
              <w:jc w:val="left"/>
            </w:pPr>
            <w:r>
              <w:rPr>
                <w:bCs/>
                <w:b/>
              </w:rPr>
              <w:t xml:space="preserve">Data Collection &amp; Patient Recruitment Oversight:</w:t>
            </w:r>
            <w:r>
              <w:br/>
            </w:r>
            <w:r>
              <w:t xml:space="preserve">Supervision of data entry processes at the affiliated clinic in Kadıköy, Istanbul. Ensuring data integrity and informed consent protocols were strictly followed for 50 participants.</w:t>
            </w:r>
          </w:p>
        </w:tc>
        <w:tc>
          <w:tcPr/>
          <w:p>
            <w:pPr>
              <w:pStyle w:val="Compact"/>
              <w:jc w:val="left"/>
            </w:pPr>
            <w:r>
              <w:t xml:space="preserve">60 Hours</w:t>
            </w:r>
          </w:p>
        </w:tc>
        <w:tc>
          <w:tcPr/>
          <w:p>
            <w:pPr>
              <w:pStyle w:val="Compact"/>
              <w:jc w:val="left"/>
            </w:pPr>
            <w:r>
              <w:t xml:space="preserve">1,200.00</w:t>
            </w:r>
          </w:p>
        </w:tc>
        <w:tc>
          <w:tcPr/>
          <w:p>
            <w:pPr>
              <w:pStyle w:val="Compact"/>
              <w:jc w:val="left"/>
            </w:pPr>
            <w:r>
              <w:t xml:space="preserve">72,000.00</w:t>
            </w:r>
          </w:p>
        </w:tc>
      </w:tr>
      <w:tr>
        <w:tc>
          <w:tcPr/>
          <w:p>
            <w:pPr>
              <w:pStyle w:val="Compact"/>
              <w:jc w:val="left"/>
            </w:pPr>
            <w:r>
              <w:t xml:space="preserve">4</w:t>
            </w:r>
          </w:p>
        </w:tc>
        <w:tc>
          <w:tcPr/>
          <w:p>
            <w:pPr>
              <w:pStyle w:val="Compact"/>
              <w:jc w:val="left"/>
            </w:pPr>
            <w:r>
              <w:rPr>
                <w:bCs/>
                <w:b/>
              </w:rPr>
              <w:t xml:space="preserve">Statistical Analysis &amp; Reporting:</w:t>
            </w:r>
            <w:r>
              <w:br/>
            </w:r>
            <w:r>
              <w:t xml:space="preserve">Advanced statistical analysis using SPSS and R software. Generation of the final clinical study report (CSR) detailing efficacy and safety outcomes, formatted for international publication standards.</w:t>
            </w:r>
          </w:p>
        </w:tc>
        <w:tc>
          <w:tcPr/>
          <w:p>
            <w:pPr>
              <w:pStyle w:val="Compact"/>
              <w:jc w:val="left"/>
            </w:pPr>
            <w:r>
              <w:t xml:space="preserve">30 Hours</w:t>
            </w:r>
          </w:p>
        </w:tc>
        <w:tc>
          <w:tcPr/>
          <w:p>
            <w:pPr>
              <w:pStyle w:val="Compact"/>
              <w:jc w:val="left"/>
            </w:pPr>
            <w:r>
              <w:t xml:space="preserve">1,800.00</w:t>
            </w:r>
          </w:p>
        </w:tc>
        <w:tc>
          <w:tcPr/>
          <w:p>
            <w:pPr>
              <w:pStyle w:val="Compact"/>
              <w:jc w:val="left"/>
            </w:pPr>
            <w:r>
              <w:t xml:space="preserve">54,000.00</w:t>
            </w:r>
          </w:p>
        </w:tc>
      </w:tr>
      <w:tr>
        <w:tc>
          <w:tcPr/>
          <w:p>
            <w:pPr>
              <w:pStyle w:val="Compact"/>
              <w:jc w:val="left"/>
            </w:pPr>
            <w:r>
              <w:t xml:space="preserve">5</w:t>
            </w:r>
          </w:p>
        </w:tc>
        <w:tc>
          <w:tcPr/>
          <w:p>
            <w:pPr>
              <w:pStyle w:val="Compact"/>
              <w:jc w:val="left"/>
            </w:pPr>
            <w:r>
              <w:rPr>
                <w:bCs/>
                <w:b/>
              </w:rPr>
              <w:t xml:space="preserve">Regulatory Compliance Audit:</w:t>
            </w:r>
            <w:r>
              <w:br/>
            </w:r>
            <w:r>
              <w:t xml:space="preserve">Final audit of the research site in Istanbul to ensure all medical records and trial master files are compliant with Turkish Ministry of Health regulations prior to study closure.</w:t>
            </w:r>
          </w:p>
        </w:tc>
        <w:tc>
          <w:tcPr/>
          <w:p>
            <w:pPr>
              <w:pStyle w:val="Compact"/>
              <w:jc w:val="left"/>
            </w:pPr>
            <w:r>
              <w:t xml:space="preserve">10 Hours</w:t>
            </w:r>
          </w:p>
        </w:tc>
        <w:tc>
          <w:tcPr/>
          <w:p>
            <w:pPr>
              <w:pStyle w:val="Compact"/>
              <w:jc w:val="left"/>
            </w:pPr>
            <w:r>
              <w:t xml:space="preserve">1,500.00</w:t>
            </w:r>
          </w:p>
        </w:tc>
        <w:tc>
          <w:tcPr/>
          <w:p>
            <w:pPr>
              <w:pStyle w:val="Compact"/>
              <w:jc w:val="left"/>
            </w:pPr>
            <w:r>
              <w:t xml:space="preserve">15,000.00</w:t>
            </w:r>
          </w:p>
        </w:tc>
      </w:tr>
    </w:tbl>
    <w:p>
      <w:pPr>
        <w:pStyle w:val="BodyText"/>
      </w:pPr>
      <w:r>
        <w:t xml:space="preserve">Subtotal:</w:t>
      </w:r>
    </w:p>
    <w:p>
      <w:pPr>
        <w:pStyle w:val="BodyText"/>
      </w:pPr>
      <w:r>
        <w:t xml:space="preserve">223,500.00 TRY</w:t>
      </w:r>
    </w:p>
    <w:p>
      <w:pPr>
        <w:pStyle w:val="BodyText"/>
      </w:pPr>
      <w:r>
        <w:t xml:space="preserve">VAT (KDV) 1%:</w:t>
      </w:r>
    </w:p>
    <w:p>
      <w:pPr>
        <w:pStyle w:val="BodyText"/>
      </w:pPr>
      <w:r>
        <w:t xml:space="preserve">2,235.00 TRY</w:t>
      </w:r>
    </w:p>
    <w:p>
      <w:pPr>
        <w:pStyle w:val="BodyText"/>
      </w:pPr>
      <w:r>
        <w:t xml:space="preserve">Grand Total:</w:t>
      </w:r>
    </w:p>
    <w:p>
      <w:pPr>
        <w:pStyle w:val="BodyText"/>
      </w:pPr>
      <w:r>
        <w:t xml:space="preserve">225,735.00 TRY</w:t>
      </w:r>
    </w:p>
    <w:p>
      <w:pPr>
        <w:pStyle w:val="BodyText"/>
      </w:pPr>
      <w:r>
        <w:t xml:space="preserve">Payment Instructions</w:t>
      </w:r>
    </w:p>
    <w:p>
      <w:pPr>
        <w:pStyle w:val="BodyText"/>
      </w:pPr>
      <w:r>
        <w:rPr>
          <w:bCs/>
          <w:b/>
        </w:rPr>
        <w:t xml:space="preserve">Bank Name:</w:t>
      </w:r>
      <w:r>
        <w:t xml:space="preserve"> </w:t>
      </w:r>
      <w:r>
        <w:t xml:space="preserve">İş Bankası A.Ş.</w:t>
      </w:r>
    </w:p>
    <w:p>
      <w:pPr>
        <w:pStyle w:val="BodyText"/>
      </w:pPr>
      <w:r>
        <w:rPr>
          <w:bCs/>
          <w:b/>
        </w:rPr>
        <w:t xml:space="preserve">Branch:</w:t>
      </w:r>
      <w:r>
        <w:t xml:space="preserve"> </w:t>
      </w:r>
      <w:r>
        <w:t xml:space="preserve">Levent Şubesi, Istanbul</w:t>
      </w:r>
    </w:p>
    <w:p>
      <w:pPr>
        <w:pStyle w:val="BodyText"/>
      </w:pPr>
      <w:r>
        <w:rPr>
          <w:bCs/>
          <w:b/>
        </w:rPr>
        <w:t xml:space="preserve">Account Name:</w:t>
      </w:r>
      <w:r>
        <w:t xml:space="preserve"> </w:t>
      </w:r>
      <w:r>
        <w:t xml:space="preserve">Bosphorus Medical Research Institute Ltd.</w:t>
      </w:r>
    </w:p>
    <w:p>
      <w:pPr>
        <w:pStyle w:val="BodyText"/>
      </w:pPr>
      <w:r>
        <w:rPr>
          <w:bCs/>
          <w:b/>
        </w:rPr>
        <w:t xml:space="preserve">IBAN:</w:t>
      </w:r>
      <w:r>
        <w:t xml:space="preserve"> </w:t>
      </w:r>
      <w:r>
        <w:t xml:space="preserve">TR33 0006 4000 0000 1234 5678 90</w:t>
      </w:r>
    </w:p>
    <w:p>
      <w:pPr>
        <w:pStyle w:val="BodyText"/>
      </w:pPr>
      <w:r>
        <w:rPr>
          <w:bCs/>
          <w:b/>
        </w:rPr>
        <w:t xml:space="preserve">SWIFT/BIC:</w:t>
      </w:r>
      <w:r>
        <w:t xml:space="preserve"> </w:t>
      </w:r>
      <w:r>
        <w:t xml:space="preserve">ISBKTRIS</w:t>
      </w:r>
    </w:p>
    <w:p>
      <w:pPr>
        <w:pStyle w:val="BodyText"/>
      </w:pPr>
      <w:r>
        <w:rPr>
          <w:iCs/>
          <w:i/>
        </w:rPr>
        <w:t xml:space="preserve">Please reference Invoice Number INV-TR-2023-0892 in the payment description.</w:t>
      </w:r>
    </w:p>
    <w:p>
      <w:pPr>
        <w:pStyle w:val="BodyText"/>
      </w:pPr>
      <w:r>
        <w:rPr>
          <w:bCs/>
          <w:b/>
        </w:rPr>
        <w:t xml:space="preserve">Terms and Conditions:</w:t>
      </w:r>
    </w:p>
    <w:p>
      <w:pPr>
        <w:numPr>
          <w:ilvl w:val="0"/>
          <w:numId w:val="1001"/>
        </w:numPr>
        <w:pStyle w:val="Compact"/>
      </w:pPr>
      <w:r>
        <w:t xml:space="preserve">Payment is due within 30 days of the invoice date. Late payments may incur a penalty interest rate in accordance with Turkish Commercial Code.</w:t>
      </w:r>
    </w:p>
    <w:p>
      <w:pPr>
        <w:numPr>
          <w:ilvl w:val="0"/>
          <w:numId w:val="1001"/>
        </w:numPr>
        <w:pStyle w:val="Compact"/>
      </w:pPr>
      <w:r>
        <w:t xml:space="preserve">All services were performed by a qualified Medical Researcher operating within the jurisdiction of Istanbul, Turkey.</w:t>
      </w:r>
    </w:p>
    <w:p>
      <w:pPr>
        <w:numPr>
          <w:ilvl w:val="0"/>
          <w:numId w:val="1001"/>
        </w:numPr>
        <w:pStyle w:val="Compact"/>
      </w:pPr>
      <w:r>
        <w:t xml:space="preserve">Intellectual property rights regarding the research data remain with the client upon full payment of this invoice.</w:t>
      </w:r>
    </w:p>
    <w:p>
      <w:pPr>
        <w:numPr>
          <w:ilvl w:val="0"/>
          <w:numId w:val="1001"/>
        </w:numPr>
        <w:pStyle w:val="Compact"/>
      </w:pPr>
      <w:r>
        <w:t xml:space="preserve">This invoice is issued in Turkish Lira (TRY). If payment is made in foreign currency, the exchange rate will be determined by the Central Bank of the Republic of Turkey on the day of payment.</w:t>
      </w:r>
    </w:p>
    <w:p>
      <w:pPr>
        <w:numPr>
          <w:ilvl w:val="0"/>
          <w:numId w:val="1001"/>
        </w:numPr>
        <w:pStyle w:val="Compact"/>
      </w:pPr>
      <w:r>
        <w:t xml:space="preserve">Any disputes arising from this invoice shall be subject to the jurisdiction of the Istanbul Courts.</w:t>
      </w:r>
    </w:p>
    <w:p>
      <w:pPr>
        <w:pStyle w:val="FirstParagraph"/>
      </w:pPr>
      <w:r>
        <w:rPr>
          <w:bCs/>
          <w:b/>
        </w:rPr>
        <w:t xml:space="preserve">Thank you for your business.</w:t>
      </w:r>
    </w:p>
    <w:p>
      <w:pPr>
        <w:pStyle w:val="BodyText"/>
      </w:pPr>
      <w:r>
        <w:rPr>
          <w:bCs/>
          <w:b/>
        </w:rPr>
        <w:t xml:space="preserve">Authorized Signature</w:t>
      </w:r>
    </w:p>
    <w:p>
      <w:pPr>
        <w:pStyle w:val="BodyText"/>
      </w:pPr>
      <w:r>
        <w:t xml:space="preserve">Dr. Elif Yilmaz</w:t>
      </w:r>
    </w:p>
    <w:p>
      <w:pPr>
        <w:pStyle w:val="BodyText"/>
      </w:pPr>
      <w:r>
        <w:t xml:space="preserve">Lead Medical Researcher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Istanbul, Turkey</dc:title>
  <dc:creator/>
  <dc:language>en</dc:language>
  <cp:keywords/>
  <dcterms:created xsi:type="dcterms:W3CDTF">2026-10-10T03:51:24Z</dcterms:created>
  <dcterms:modified xsi:type="dcterms:W3CDTF">2026-10-10T03:51:24Z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