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Dubai,</w:t>
      </w:r>
      <w:r>
        <w:t xml:space="preserve"> </w:t>
      </w:r>
      <w:r>
        <w:t xml:space="preserve">UAE</w:t>
      </w:r>
    </w:p>
    <w:bookmarkStart w:id="20" w:name="X8bc0b6ad065a4790b7c47bd6b84eee19012c1f8"/>
    <w:p>
      <w:pPr>
        <w:pStyle w:val="Heading1"/>
      </w:pPr>
      <w:r>
        <w:t xml:space="preserve">Advanced Biomedical Research Solutions LLC</w:t>
      </w:r>
    </w:p>
    <w:p>
      <w:pPr>
        <w:pStyle w:val="FirstParagraph"/>
      </w:pPr>
      <w:r>
        <w:t xml:space="preserve">Free Zone Establishment - Dubai Science Park</w:t>
      </w:r>
    </w:p>
    <w:p>
      <w:pPr>
        <w:pStyle w:val="BodyText"/>
      </w:pPr>
      <w:r>
        <w:t xml:space="preserve">Building 12, Office 405, Dubai, United Arab Emirates</w:t>
      </w:r>
    </w:p>
    <w:p>
      <w:pPr>
        <w:pStyle w:val="BodyText"/>
      </w:pPr>
      <w:r>
        <w:t xml:space="preserve">P.O. Box 123456</w:t>
      </w:r>
    </w:p>
    <w:p>
      <w:pPr>
        <w:pStyle w:val="BodyText"/>
      </w:pPr>
      <w:r>
        <w:t xml:space="preserve">Email: billing@advancedbiomedical.ae</w:t>
      </w:r>
    </w:p>
    <w:p>
      <w:pPr>
        <w:pStyle w:val="BodyText"/>
      </w:pPr>
      <w:r>
        <w:t xml:space="preserve">Phone: +971 4 123 4567</w:t>
      </w:r>
    </w:p>
    <w:p>
      <w:pPr>
        <w:pStyle w:val="BodyText"/>
      </w:pPr>
      <w:r>
        <w:t xml:space="preserve">TRN: 100123456700003</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Emirates Health Research Institute</w:t>
      </w:r>
    </w:p>
    <w:p>
      <w:pPr>
        <w:pStyle w:val="BodyText"/>
      </w:pPr>
      <w:r>
        <w:t xml:space="preserve">Attn: Dr. Ahmed Al-Mansouri, Director of Research</w:t>
      </w:r>
    </w:p>
    <w:p>
      <w:pPr>
        <w:pStyle w:val="BodyText"/>
      </w:pPr>
      <w:r>
        <w:t xml:space="preserve">Sheikh Zayed Road, Dubai Healthcare City</w:t>
      </w:r>
    </w:p>
    <w:p>
      <w:pPr>
        <w:pStyle w:val="BodyText"/>
      </w:pPr>
      <w:r>
        <w:t xml:space="preserve">Dubai, United Arab Emirates</w:t>
      </w:r>
    </w:p>
    <w:p>
      <w:pPr>
        <w:pStyle w:val="BodyText"/>
      </w:pPr>
      <w:r>
        <w:t xml:space="preserve">P.O. Box 789012</w:t>
      </w:r>
    </w:p>
    <w:p>
      <w:pPr>
        <w:pStyle w:val="BodyText"/>
      </w:pPr>
      <w:r>
        <w:t xml:space="preserve">Email: procurement@emirateshealth.ae</w:t>
      </w:r>
    </w:p>
    <w:p>
      <w:pPr>
        <w:pStyle w:val="BodyText"/>
      </w:pPr>
      <w:r>
        <w:t xml:space="preserve">Phone: +971 4 987 6543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December 1, 2023 - December 31, 2023</w:t>
      </w:r>
    </w:p>
    <w:p>
      <w:pPr>
        <w:pStyle w:val="BodyText"/>
      </w:pPr>
      <w:r>
        <w:rPr>
          <w:bCs/>
          <w:b/>
        </w:rPr>
        <w:t xml:space="preserve">Project Reference:</w:t>
      </w:r>
      <w:r>
        <w:t xml:space="preserve"> </w:t>
      </w:r>
      <w:r>
        <w:t xml:space="preserve">UAE-GENOMICS-2023-Q4</w:t>
      </w:r>
    </w:p>
    <w:bookmarkEnd w:id="23"/>
    <w:p>
      <w:pPr>
        <w:pStyle w:val="BodyText"/>
      </w:pPr>
      <w:r>
        <w:rPr>
          <w:bCs/>
          <w:b/>
        </w:rPr>
        <w:t xml:space="preserve">Value Added Tax (VAT) Notice:</w:t>
      </w:r>
      <w:r>
        <w:t xml:space="preserve"> </w:t>
      </w:r>
      <w:r>
        <w:t xml:space="preserve">This invoice is issued in accordance with the Federal Decree-Law No. (8) of 2017 on Value Added Tax as implemented by the Federal Tax Authority (FTA) of the United Arab Emirates. The VAT rate of 5% has been applied to all taxable supplies of services rendered by our Medical Researcher professionals within Dubai and the wider UAE jurisdiction.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Senior Medical Researcher Consultation - Clinical Trial Design</w:t>
            </w:r>
            <w:r>
              <w:br/>
            </w:r>
            <w:r>
              <w:t xml:space="preserve">Comprehensive consultation services provided by our lead Medical Researcher specializing in oncology clinical trials. Services included protocol development, statistical analysis planning, and regulatory compliance review aligned with Dubai Health Authority (DHA) standards and UAE Ministry of Health guidelines.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Medical Researcher - Data Analysis and Biostatistics</w:t>
            </w:r>
            <w:r>
              <w:br/>
            </w:r>
            <w:r>
              <w:t xml:space="preserve">Advanced biostatistical analysis of Phase II clinical trial data conducted in Dubai. Our Medical Researcher team performed comprehensive data cleaning, hypothesis testing, and generation of statistical reports using SAS and R programming environments. Includes interpretation of results for regulatory submission.</w:t>
            </w:r>
          </w:p>
        </w:tc>
        <w:tc>
          <w:tcPr/>
          <w:p>
            <w:pPr>
              <w:pStyle w:val="Compact"/>
              <w:jc w:val="left"/>
            </w:pPr>
            <w:r>
              <w:t xml:space="preserve">60</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3</w:t>
            </w:r>
          </w:p>
        </w:tc>
        <w:tc>
          <w:tcPr/>
          <w:p>
            <w:pPr>
              <w:pStyle w:val="Compact"/>
              <w:jc w:val="left"/>
            </w:pPr>
            <w:r>
              <w:rPr>
                <w:bCs/>
                <w:b/>
              </w:rPr>
              <w:t xml:space="preserve">Medical Researcher - Literature Review and Evidence Synthesis</w:t>
            </w:r>
            <w:r>
              <w:br/>
            </w:r>
            <w:r>
              <w:t xml:space="preserve">Systematic literature review and meta-analysis services provided by our Medical Researcher specialists. Comprehensive review of peer-reviewed publications related to cardiovascular disease interventions in Middle Eastern populations. Includes PRISMA-compliant methodology and detailed evidence summary report.</w:t>
            </w:r>
          </w:p>
        </w:tc>
        <w:tc>
          <w:tcPr/>
          <w:p>
            <w:pPr>
              <w:pStyle w:val="Compact"/>
              <w:jc w:val="left"/>
            </w:pPr>
            <w:r>
              <w:t xml:space="preserve">30</w:t>
            </w:r>
          </w:p>
        </w:tc>
        <w:tc>
          <w:tcPr/>
          <w:p>
            <w:pPr>
              <w:pStyle w:val="Compact"/>
              <w:jc w:val="left"/>
            </w:pPr>
            <w:r>
              <w:t xml:space="preserve">700.00</w:t>
            </w:r>
          </w:p>
        </w:tc>
        <w:tc>
          <w:tcPr/>
          <w:p>
            <w:pPr>
              <w:pStyle w:val="Compact"/>
              <w:jc w:val="left"/>
            </w:pPr>
            <w:r>
              <w:t xml:space="preserve">21,000.00</w:t>
            </w:r>
          </w:p>
        </w:tc>
      </w:tr>
      <w:tr>
        <w:tc>
          <w:tcPr/>
          <w:p>
            <w:pPr>
              <w:pStyle w:val="Compact"/>
              <w:jc w:val="left"/>
            </w:pPr>
            <w:r>
              <w:t xml:space="preserve">4</w:t>
            </w:r>
          </w:p>
        </w:tc>
        <w:tc>
          <w:tcPr/>
          <w:p>
            <w:pPr>
              <w:pStyle w:val="Compact"/>
              <w:jc w:val="left"/>
            </w:pPr>
            <w:r>
              <w:rPr>
                <w:bCs/>
                <w:b/>
              </w:rPr>
              <w:t xml:space="preserve">Medical Researcher - Regulatory Documentation and Ethics Committee Submission</w:t>
            </w:r>
            <w:r>
              <w:br/>
            </w:r>
            <w:r>
              <w:t xml:space="preserve">Preparation and submission of comprehensive research protocols to the Dubai Healthcare City Authority (DHCC) Ethics Committee. Our Medical Researcher experts ensured all documentation met UAE regulatory requirements including informed consent forms, risk assessment matrices, and data protection compliance under UAE Federal Law No. 2 of 2019 on Personal Data Protection.</w:t>
            </w:r>
          </w:p>
        </w:tc>
        <w:tc>
          <w:tcPr/>
          <w:p>
            <w:pPr>
              <w:pStyle w:val="Compact"/>
              <w:jc w:val="left"/>
            </w:pPr>
            <w:r>
              <w:t xml:space="preserve">25</w:t>
            </w:r>
          </w:p>
        </w:tc>
        <w:tc>
          <w:tcPr/>
          <w:p>
            <w:pPr>
              <w:pStyle w:val="Compact"/>
              <w:jc w:val="left"/>
            </w:pPr>
            <w:r>
              <w:t xml:space="preserve">800.00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Medical Researcher - Training and Capacity Building</w:t>
            </w:r>
            <w:r>
              <w:br/>
            </w:r>
            <w:r>
              <w:t xml:space="preserve">On-site training sessions conducted by our senior Medical Researcher for client research staff at Emirates Health Research Institute facilities in Dubai. Training covered Good Clinical Practice (GCP) standards, clinical data management best practices, and research methodology aligned with international standards and UAE healthcare regulations.</w:t>
            </w:r>
          </w:p>
        </w:tc>
        <w:tc>
          <w:tcPr/>
          <w:p>
            <w:pPr>
              <w:pStyle w:val="Compact"/>
              <w:jc w:val="left"/>
            </w:pPr>
            <w:r>
              <w:t xml:space="preserve">16</w:t>
            </w:r>
          </w:p>
        </w:tc>
        <w:tc>
          <w:tcPr/>
          <w:p>
            <w:pPr>
              <w:pStyle w:val="Compact"/>
              <w:jc w:val="left"/>
            </w:pPr>
            <w:r>
              <w:t xml:space="preserve">900.00</w:t>
            </w:r>
          </w:p>
        </w:tc>
        <w:tc>
          <w:tcPr/>
          <w:p>
            <w:pPr>
              <w:pStyle w:val="Compact"/>
              <w:jc w:val="left"/>
            </w:pPr>
            <w:r>
              <w:t xml:space="preserve">14,400.00</w:t>
            </w:r>
          </w:p>
        </w:tc>
      </w:tr>
    </w:tbl>
    <w:p>
      <w:pPr>
        <w:pStyle w:val="BodyText"/>
      </w:pPr>
      <w:r>
        <w:t xml:space="preserve">Subtotal:</w:t>
      </w:r>
      <w:r>
        <w:t xml:space="preserve"> </w:t>
      </w:r>
      <w:r>
        <w:t xml:space="preserve">AED 124,400.00</w:t>
      </w:r>
    </w:p>
    <w:p>
      <w:pPr>
        <w:pStyle w:val="BodyText"/>
      </w:pPr>
      <w:r>
        <w:t xml:space="preserve">VAT (5%):</w:t>
      </w:r>
      <w:r>
        <w:t xml:space="preserve"> </w:t>
      </w:r>
      <w:r>
        <w:t xml:space="preserve">AED 6,220.00</w:t>
      </w:r>
    </w:p>
    <w:p>
      <w:pPr>
        <w:pStyle w:val="BodyText"/>
      </w:pPr>
      <w:r>
        <w:t xml:space="preserve">TOTAL AMOUNT DUE:</w:t>
      </w:r>
      <w:r>
        <w:t xml:space="preserve"> </w:t>
      </w:r>
      <w:r>
        <w:t xml:space="preserve">AED 130,620.00</w:t>
      </w:r>
    </w:p>
    <w:p>
      <w:pPr>
        <w:pStyle w:val="BodyText"/>
      </w:pPr>
      <w:r>
        <w:t xml:space="preserve">Amount in words: One Hundred Thirty Thousand Six Hundred Twenty United Arab Emirates Dirhams only.</w:t>
      </w:r>
    </w:p>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 Late payments may incur interest charges at the rate of 1.5% per month as permitted under UAE commercial law.</w:t>
      </w:r>
    </w:p>
    <w:p>
      <w:pPr>
        <w:pStyle w:val="BodyText"/>
      </w:pPr>
      <w:r>
        <w:rPr>
          <w:bCs/>
          <w:b/>
        </w:rPr>
        <w:t xml:space="preserve">Bank Name:</w:t>
      </w:r>
      <w:r>
        <w:t xml:space="preserve"> </w:t>
      </w:r>
      <w:r>
        <w:t xml:space="preserve">Emirates NBD</w:t>
      </w:r>
      <w:r>
        <w:br/>
      </w:r>
      <w:r>
        <w:rPr>
          <w:bCs/>
          <w:b/>
        </w:rPr>
        <w:t xml:space="preserve">Account Name:</w:t>
      </w:r>
      <w:r>
        <w:t xml:space="preserve"> </w:t>
      </w:r>
      <w:r>
        <w:t xml:space="preserve">Advanced Biomedical Research Solutions LLC</w:t>
      </w:r>
      <w:r>
        <w:br/>
      </w:r>
      <w:r>
        <w:rPr>
          <w:bCs/>
          <w:b/>
        </w:rPr>
        <w:t xml:space="preserve">Account Number:</w:t>
      </w:r>
      <w:r>
        <w:t xml:space="preserve"> </w:t>
      </w:r>
      <w:r>
        <w:t xml:space="preserve">1000 XXXX XXXX XXX</w:t>
      </w:r>
      <w:r>
        <w:br/>
      </w:r>
      <w:r>
        <w:rPr>
          <w:bCs/>
          <w:b/>
        </w:rPr>
        <w:t xml:space="preserve">IBAN:</w:t>
      </w:r>
      <w:r>
        <w:t xml:space="preserve"> </w:t>
      </w:r>
      <w:r>
        <w:t xml:space="preserve">AE07 0331 XXXX XXXX XXXX XXX</w:t>
      </w:r>
      <w:r>
        <w:br/>
      </w:r>
      <w:r>
        <w:rPr>
          <w:bCs/>
          <w:b/>
        </w:rPr>
        <w:t xml:space="preserve">SWIFT/BIC:</w:t>
      </w:r>
      <w:r>
        <w:t xml:space="preserve"> </w:t>
      </w:r>
      <w:r>
        <w:t xml:space="preserve">EBILAEAD</w:t>
      </w:r>
      <w:r>
        <w:br/>
      </w:r>
      <w:r>
        <w:rPr>
          <w:bCs/>
          <w:b/>
        </w:rPr>
        <w:t xml:space="preserve">Branch:</w:t>
      </w:r>
      <w:r>
        <w:t xml:space="preserve"> </w:t>
      </w:r>
      <w:r>
        <w:t xml:space="preserve">Dubai Science Park Branch, Dubai, United Arab Emirates</w:t>
      </w:r>
    </w:p>
    <w:p>
      <w:pPr>
        <w:pStyle w:val="BodyText"/>
      </w:pPr>
      <w:r>
        <w:t xml:space="preserve">Please reference Invoice Number INV-2024-0892 in your payment remittance advice.</w:t>
      </w:r>
    </w:p>
    <w:bookmarkEnd w:id="24"/>
    <w:bookmarkStart w:id="25" w:name="terms-and-conditions"/>
    <w:p>
      <w:pPr>
        <w:pStyle w:val="Heading4"/>
      </w:pPr>
      <w:r>
        <w:t xml:space="preserve">Terms and Conditions:</w:t>
      </w:r>
    </w:p>
    <w:p>
      <w:pPr>
        <w:pStyle w:val="FirstParagraph"/>
      </w:pPr>
      <w:r>
        <w:t xml:space="preserve">1. All services rendered by our Medical Researcher professionals are subject to the terms outlined in the Master Services Agreement dated October 1, 2023, between Advanced Biomedical Research Solutions LLC and Emirates Health Research Institute.</w:t>
      </w:r>
      <w:r>
        <w:br/>
      </w:r>
      <w:r>
        <w:t xml:space="preserve">2. This invoice is issued in compliance with the VAT regulations of the Federal Tax Authority of the United Arab Emirates. Our Tax Registration Number (TRN) is printed above.</w:t>
      </w:r>
      <w:r>
        <w:br/>
      </w:r>
      <w:r>
        <w:t xml:space="preserve">3. All research data, intellectual property, and deliverables remain the property of Advanced Biomedical Research Solutions LLC until full payment is received.</w:t>
      </w:r>
      <w:r>
        <w:br/>
      </w:r>
      <w:r>
        <w:t xml:space="preserve">4. Our Medical Researcher team maintains strict confidentiality of all client data in accordance with UAE healthcare privacy laws and international research ethics standards.</w:t>
      </w:r>
      <w:r>
        <w:br/>
      </w:r>
      <w:r>
        <w:t xml:space="preserve">5. Any disputes arising from this invoice shall be subject to the jurisdiction of the Dubai Courts in the United Arab Emirates.</w:t>
      </w:r>
      <w:r>
        <w:br/>
      </w:r>
      <w:r>
        <w:t xml:space="preserve">6. Please notify our accounts department within 7 days of receipt if there are any discrepancies with this invoice.</w:t>
      </w:r>
    </w:p>
    <w:bookmarkEnd w:id="25"/>
    <w:bookmarkStart w:id="26" w:name="service-quality-assurance"/>
    <w:p>
      <w:pPr>
        <w:pStyle w:val="Heading4"/>
      </w:pPr>
      <w:r>
        <w:t xml:space="preserve">Service Quality Assurance:</w:t>
      </w:r>
    </w:p>
    <w:p>
      <w:pPr>
        <w:pStyle w:val="FirstParagraph"/>
      </w:pPr>
      <w:r>
        <w:t xml:space="preserve">Advanced Biomedical Research Solutions LLC is committed to delivering the highest quality medical research services in Dubai and across the United Arab Emirates. Our team of qualified Medical Researcher professionals holds relevant certifications including Good Clinical Practice (GCP), is registered with the Dubai Health Authority where applicable, and adheres to international research standards including ICH-GCP guidelines. We maintain comprehensive quality assurance protocols to ensure all research outputs meet the rigorous standards expected by healthcare institutions, regulatory bodies, and academic organizations throughout the UAE.</w:t>
      </w:r>
    </w:p>
    <w:bookmarkEnd w:id="26"/>
    <w:p>
      <w:pPr>
        <w:pStyle w:val="BodyText"/>
      </w:pPr>
      <w:r>
        <w:rPr>
          <w:bCs/>
          <w:b/>
        </w:rPr>
        <w:t xml:space="preserve">Authorized Signature</w:t>
      </w:r>
    </w:p>
    <w:p>
      <w:pPr>
        <w:pStyle w:val="BodyText"/>
      </w:pPr>
      <w:r>
        <w:t xml:space="preserve">Dr. Sarah Mitchell, PhD</w:t>
      </w:r>
    </w:p>
    <w:p>
      <w:pPr>
        <w:pStyle w:val="BodyText"/>
      </w:pPr>
      <w:r>
        <w:t xml:space="preserve">Chief Scientific Officer</w:t>
      </w:r>
    </w:p>
    <w:p>
      <w:pPr>
        <w:pStyle w:val="BodyText"/>
      </w:pPr>
      <w:r>
        <w:t xml:space="preserve">Advanced Biomedical Research Solutions LLC</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Thank you for your business. We appreciate your partnership in advancing medical research excellence in Dubai and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Dubai, UAE</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