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dr.-eleanor-vance-phd"/>
    <w:p>
      <w:pPr>
        <w:pStyle w:val="Heading1"/>
      </w:pPr>
      <w:r>
        <w:t xml:space="preserve">Dr. Eleanor Vance, PhD</w:t>
      </w:r>
    </w:p>
    <w:p>
      <w:pPr>
        <w:pStyle w:val="FirstParagraph"/>
      </w:pPr>
      <w:r>
        <w:rPr>
          <w:bCs/>
          <w:b/>
        </w:rPr>
        <w:t xml:space="preserve">Senior Medical Researcher &amp; Consultant</w:t>
      </w:r>
    </w:p>
    <w:p>
      <w:pPr>
        <w:pStyle w:val="BodyText"/>
      </w:pPr>
      <w:r>
        <w:t xml:space="preserve">42 Harley Street, Marylebone</w:t>
      </w:r>
    </w:p>
    <w:p>
      <w:pPr>
        <w:pStyle w:val="BodyText"/>
      </w:pPr>
      <w:r>
        <w:t xml:space="preserve">London, W1G 9QD, United Kingdom</w:t>
      </w:r>
    </w:p>
    <w:p>
      <w:pPr>
        <w:pStyle w:val="BodyText"/>
      </w:pPr>
      <w:r>
        <w:t xml:space="preserve">Email: e.vance@medresearch-london.co.uk</w:t>
      </w:r>
    </w:p>
    <w:p>
      <w:pPr>
        <w:pStyle w:val="BodyText"/>
      </w:pPr>
      <w:r>
        <w:t xml:space="preserve">Tel: +44 (0) 20 7946 0958</w:t>
      </w:r>
    </w:p>
    <w:p>
      <w:pPr>
        <w:pStyle w:val="BodyText"/>
      </w:pPr>
      <w:r>
        <w:t xml:space="preserve">VAT Registration Number: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St. Jude's Clinical Trials Unit</w:t>
      </w:r>
    </w:p>
    <w:p>
      <w:pPr>
        <w:pStyle w:val="BodyText"/>
      </w:pPr>
      <w:r>
        <w:t xml:space="preserve">Attn: Procurement Department</w:t>
      </w:r>
    </w:p>
    <w:p>
      <w:pPr>
        <w:pStyle w:val="BodyText"/>
      </w:pPr>
      <w:r>
        <w:t xml:space="preserve">15 Great Portland Street</w:t>
      </w:r>
    </w:p>
    <w:p>
      <w:pPr>
        <w:pStyle w:val="BodyText"/>
      </w:pPr>
      <w:r>
        <w:t xml:space="preserve">London, W1W 6PQ, United Kingdom</w:t>
      </w:r>
    </w:p>
    <w:bookmarkEnd w:id="22"/>
    <w:bookmarkStart w:id="23" w:name="project-reference"/>
    <w:p>
      <w:pPr>
        <w:pStyle w:val="Heading3"/>
      </w:pPr>
      <w:r>
        <w:t xml:space="preserve">Project Reference:</w:t>
      </w:r>
    </w:p>
    <w:p>
      <w:pPr>
        <w:pStyle w:val="FirstParagraph"/>
      </w:pPr>
      <w:r>
        <w:rPr>
          <w:bCs/>
          <w:b/>
        </w:rPr>
        <w:t xml:space="preserve">Project ID:</w:t>
      </w:r>
      <w:r>
        <w:t xml:space="preserve"> </w:t>
      </w:r>
      <w:r>
        <w:t xml:space="preserve">SJ-CTU-2023-08</w:t>
      </w:r>
    </w:p>
    <w:p>
      <w:pPr>
        <w:pStyle w:val="BodyText"/>
      </w:pPr>
      <w:r>
        <w:rPr>
          <w:bCs/>
          <w:b/>
        </w:rPr>
        <w:t xml:space="preserve">Subject:</w:t>
      </w:r>
      <w:r>
        <w:t xml:space="preserve"> </w:t>
      </w:r>
      <w:r>
        <w:t xml:space="preserve">Phase II Oncology Data Analysis</w:t>
      </w:r>
    </w:p>
    <w:p>
      <w:pPr>
        <w:pStyle w:val="BodyText"/>
      </w:pPr>
      <w:r>
        <w:rPr>
          <w:bCs/>
          <w:b/>
        </w:rPr>
        <w:t xml:space="preserve">Location:</w:t>
      </w:r>
      <w:r>
        <w:t xml:space="preserve"> </w:t>
      </w:r>
      <w:r>
        <w:t xml:space="preserve">London, United Kingdom</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w:t>
            </w:r>
          </w:p>
        </w:tc>
        <w:tc>
          <w:tcPr/>
          <w:p>
            <w:pPr>
              <w:pStyle w:val="Compact"/>
              <w:jc w:val="left"/>
            </w:pPr>
            <w:r>
              <w:t xml:space="preserve">Hours/Qty</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Statistical Analysis of Clinical Trial Data</w:t>
            </w:r>
            <w:r>
              <w:br/>
            </w:r>
            <w:r>
              <w:t xml:space="preserve">Comprehensive review and analysis of patient data sets for the Phase II oncology study. This includes survival analysis, hazard ratio calculations, and subgroup analysis performed in accordance with UK regulatory standards.</w:t>
            </w:r>
          </w:p>
        </w:tc>
        <w:tc>
          <w:tcPr/>
          <w:p>
            <w:pPr>
              <w:pStyle w:val="Compact"/>
              <w:jc w:val="left"/>
            </w:pPr>
            <w:r>
              <w:t xml:space="preserve">175.00</w:t>
            </w:r>
          </w:p>
        </w:tc>
        <w:tc>
          <w:tcPr/>
          <w:p>
            <w:pPr>
              <w:pStyle w:val="Compact"/>
              <w:jc w:val="left"/>
            </w:pPr>
            <w:r>
              <w:t xml:space="preserve">40.0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Medical Writing &amp; Report Generation</w:t>
            </w:r>
            <w:r>
              <w:br/>
            </w:r>
            <w:r>
              <w:t xml:space="preserve">Drafting of the Clinical Study Report (CSR) sections 14 and 15. Ensuring compliance with ICH E3 guidelines and formatting requirements for submission to the Medicines and Healthcare products Regulatory Agency (MHRA).</w:t>
            </w:r>
          </w:p>
        </w:tc>
        <w:tc>
          <w:tcPr/>
          <w:p>
            <w:pPr>
              <w:pStyle w:val="Compact"/>
              <w:jc w:val="left"/>
            </w:pPr>
            <w:r>
              <w:t xml:space="preserve">160.00</w:t>
            </w:r>
          </w:p>
        </w:tc>
        <w:tc>
          <w:tcPr/>
          <w:p>
            <w:pPr>
              <w:pStyle w:val="Compact"/>
              <w:jc w:val="left"/>
            </w:pPr>
            <w:r>
              <w:t xml:space="preserve">25.0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Advisory sessions regarding Good Clinical Practice (GCP) adherence within the London site. Review of informed consent forms and protocol amendments to ensure alignment with United Kingdom law and ethical standards.</w:t>
            </w:r>
          </w:p>
        </w:tc>
        <w:tc>
          <w:tcPr/>
          <w:p>
            <w:pPr>
              <w:pStyle w:val="Compact"/>
              <w:jc w:val="left"/>
            </w:pPr>
            <w:r>
              <w:t xml:space="preserve">185.00</w:t>
            </w:r>
          </w:p>
        </w:tc>
        <w:tc>
          <w:tcPr/>
          <w:p>
            <w:pPr>
              <w:pStyle w:val="Compact"/>
              <w:jc w:val="left"/>
            </w:pPr>
            <w:r>
              <w:t xml:space="preserve">10.0</w:t>
            </w:r>
          </w:p>
        </w:tc>
        <w:tc>
          <w:tcPr/>
          <w:p>
            <w:pPr>
              <w:pStyle w:val="Compact"/>
              <w:jc w:val="left"/>
            </w:pPr>
            <w:r>
              <w:t xml:space="preserve">1,850.00</w:t>
            </w:r>
          </w:p>
        </w:tc>
      </w:tr>
      <w:tr>
        <w:tc>
          <w:tcPr/>
          <w:p>
            <w:pPr>
              <w:pStyle w:val="Compact"/>
              <w:jc w:val="left"/>
            </w:pPr>
            <w:r>
              <w:t xml:space="preserve">4</w:t>
            </w:r>
          </w:p>
        </w:tc>
        <w:tc>
          <w:tcPr/>
          <w:p>
            <w:pPr>
              <w:pStyle w:val="Compact"/>
              <w:jc w:val="left"/>
            </w:pPr>
            <w:r>
              <w:rPr>
                <w:bCs/>
                <w:b/>
              </w:rPr>
              <w:t xml:space="preserve">Peer Review &amp; Data Integrity Audit</w:t>
            </w:r>
            <w:r>
              <w:br/>
            </w:r>
            <w:r>
              <w:t xml:space="preserve">Independent audit of the data management plan. Verification of source data against case report forms (CRFs) to ensure data integrity prior to database lock.</w:t>
            </w:r>
          </w:p>
        </w:tc>
        <w:tc>
          <w:tcPr/>
          <w:p>
            <w:pPr>
              <w:pStyle w:val="Compact"/>
              <w:jc w:val="left"/>
            </w:pPr>
            <w:r>
              <w:t xml:space="preserve">150.00</w:t>
            </w:r>
          </w:p>
        </w:tc>
        <w:tc>
          <w:tcPr/>
          <w:p>
            <w:pPr>
              <w:pStyle w:val="Compact"/>
              <w:jc w:val="left"/>
            </w:pPr>
            <w:r>
              <w:t xml:space="preserve">15.0</w:t>
            </w:r>
          </w:p>
        </w:tc>
        <w:tc>
          <w:tcPr/>
          <w:p>
            <w:pPr>
              <w:pStyle w:val="Compact"/>
              <w:jc w:val="left"/>
            </w:pPr>
            <w:r>
              <w:t xml:space="preserve">2,250.00</w:t>
            </w:r>
          </w:p>
        </w:tc>
      </w:tr>
      <w:tr>
        <w:tc>
          <w:tcPr/>
          <w:p>
            <w:pPr>
              <w:pStyle w:val="Compact"/>
              <w:jc w:val="left"/>
            </w:pPr>
            <w:r>
              <w:t xml:space="preserve">5</w:t>
            </w:r>
          </w:p>
        </w:tc>
        <w:tc>
          <w:tcPr/>
          <w:p>
            <w:pPr>
              <w:pStyle w:val="Compact"/>
              <w:jc w:val="left"/>
            </w:pPr>
            <w:r>
              <w:rPr>
                <w:bCs/>
                <w:b/>
              </w:rPr>
              <w:t xml:space="preserve">Travel &amp; Site Visit Expenses</w:t>
            </w:r>
            <w:r>
              <w:br/>
            </w:r>
            <w:r>
              <w:t xml:space="preserve">Reimbursement for travel to the St. Jude's Clinical Trials Unit in London for on-site meetings and data verification. Includes rail travel and parking fees as per the agreed expense policy.</w:t>
            </w:r>
          </w:p>
        </w:tc>
        <w:tc>
          <w:tcPr/>
          <w:p>
            <w:pPr>
              <w:pStyle w:val="Compact"/>
              <w:jc w:val="left"/>
            </w:pPr>
            <w:r>
              <w:t xml:space="preserve">1.00</w:t>
            </w:r>
          </w:p>
        </w:tc>
        <w:tc>
          <w:tcPr/>
          <w:p>
            <w:pPr>
              <w:pStyle w:val="Compact"/>
              <w:jc w:val="left"/>
            </w:pPr>
            <w:r>
              <w:t xml:space="preserve">1.0</w:t>
            </w:r>
          </w:p>
        </w:tc>
        <w:tc>
          <w:tcPr/>
          <w:p>
            <w:pPr>
              <w:pStyle w:val="Compact"/>
              <w:jc w:val="left"/>
            </w:pPr>
            <w:r>
              <w:t xml:space="preserve">125.50</w:t>
            </w:r>
          </w:p>
        </w:tc>
      </w:tr>
    </w:tbl>
    <w:p>
      <w:pPr>
        <w:pStyle w:val="BodyText"/>
      </w:pPr>
      <w:r>
        <w:t xml:space="preserve">Subtotal:</w:t>
      </w:r>
      <w:r>
        <w:t xml:space="preserve"> </w:t>
      </w:r>
      <w:r>
        <w:t xml:space="preserve">£15,225.50</w:t>
      </w:r>
    </w:p>
    <w:p>
      <w:pPr>
        <w:pStyle w:val="BodyText"/>
      </w:pPr>
      <w:r>
        <w:t xml:space="preserve">VAT (20%):</w:t>
      </w:r>
      <w:r>
        <w:t xml:space="preserve"> </w:t>
      </w:r>
      <w:r>
        <w:t xml:space="preserve">£3,045.10</w:t>
      </w:r>
    </w:p>
    <w:p>
      <w:pPr>
        <w:pStyle w:val="BodyText"/>
      </w:pPr>
      <w:r>
        <w:t xml:space="preserve">Total Due:</w:t>
      </w:r>
      <w:r>
        <w:t xml:space="preserve"> </w:t>
      </w:r>
      <w:r>
        <w:t xml:space="preserve">£18,270.60</w:t>
      </w:r>
    </w:p>
    <w:bookmarkStart w:id="24" w:name="payment-instructions-notes"/>
    <w:p>
      <w:pPr>
        <w:pStyle w:val="Heading4"/>
      </w:pPr>
      <w:r>
        <w:t xml:space="preserve">Payment Instructions &amp; Notes</w:t>
      </w:r>
    </w:p>
    <w:p>
      <w:pPr>
        <w:pStyle w:val="FirstParagraph"/>
      </w:pPr>
      <w:r>
        <w:t xml:space="preserve">Please make payment via Bank Transfer (BACS) to the following account details:</w:t>
      </w:r>
    </w:p>
    <w:p>
      <w:pPr>
        <w:numPr>
          <w:ilvl w:val="0"/>
          <w:numId w:val="1001"/>
        </w:numPr>
        <w:pStyle w:val="Compact"/>
      </w:pPr>
      <w:r>
        <w:rPr>
          <w:bCs/>
          <w:b/>
        </w:rPr>
        <w:t xml:space="preserve">Bank Name:</w:t>
      </w:r>
      <w:r>
        <w:t xml:space="preserve"> </w:t>
      </w:r>
      <w:r>
        <w:t xml:space="preserve">Barclays Bank PLC</w:t>
      </w:r>
    </w:p>
    <w:p>
      <w:pPr>
        <w:numPr>
          <w:ilvl w:val="0"/>
          <w:numId w:val="1001"/>
        </w:numPr>
        <w:pStyle w:val="Compact"/>
      </w:pPr>
      <w:r>
        <w:rPr>
          <w:bCs/>
          <w:b/>
        </w:rPr>
        <w:t xml:space="preserve">Account Name:</w:t>
      </w:r>
      <w:r>
        <w:t xml:space="preserve"> </w:t>
      </w:r>
      <w:r>
        <w:t xml:space="preserve">Dr. Eleanor Vance</w:t>
      </w:r>
    </w:p>
    <w:p>
      <w:pPr>
        <w:numPr>
          <w:ilvl w:val="0"/>
          <w:numId w:val="1001"/>
        </w:numPr>
        <w:pStyle w:val="Compact"/>
      </w:pPr>
      <w:r>
        <w:rPr>
          <w:bCs/>
          <w:b/>
        </w:rPr>
        <w:t xml:space="preserve">Sort Code:</w:t>
      </w:r>
      <w:r>
        <w:t xml:space="preserve"> </w:t>
      </w:r>
      <w:r>
        <w:t xml:space="preserve">20-00-00</w:t>
      </w:r>
    </w:p>
    <w:p>
      <w:pPr>
        <w:numPr>
          <w:ilvl w:val="0"/>
          <w:numId w:val="1001"/>
        </w:numPr>
        <w:pStyle w:val="Compact"/>
      </w:pPr>
      <w:r>
        <w:rPr>
          <w:bCs/>
          <w:b/>
        </w:rPr>
        <w:t xml:space="preserve">Account Number:</w:t>
      </w:r>
      <w:r>
        <w:t xml:space="preserve"> </w:t>
      </w:r>
      <w:r>
        <w:t xml:space="preserve">12345678</w:t>
      </w:r>
    </w:p>
    <w:p>
      <w:pPr>
        <w:numPr>
          <w:ilvl w:val="0"/>
          <w:numId w:val="1001"/>
        </w:numPr>
        <w:pStyle w:val="Compact"/>
      </w:pPr>
      <w:r>
        <w:rPr>
          <w:bCs/>
          <w:b/>
        </w:rPr>
        <w:t xml:space="preserve">IBAN:</w:t>
      </w:r>
      <w:r>
        <w:t xml:space="preserve"> </w:t>
      </w:r>
      <w:r>
        <w:t xml:space="preserve">GB29 BARC 2000 0012 3456 78</w:t>
      </w:r>
    </w:p>
    <w:p>
      <w:pPr>
        <w:numPr>
          <w:ilvl w:val="0"/>
          <w:numId w:val="1001"/>
        </w:numPr>
        <w:pStyle w:val="Compact"/>
      </w:pPr>
      <w:r>
        <w:rPr>
          <w:bCs/>
          <w:b/>
        </w:rPr>
        <w:t xml:space="preserve">SWIFT/BIC:</w:t>
      </w:r>
      <w:r>
        <w:t xml:space="preserve"> </w:t>
      </w:r>
      <w:r>
        <w:t xml:space="preserve">BARCGB22</w:t>
      </w:r>
    </w:p>
    <w:p>
      <w:pPr>
        <w:pStyle w:val="FirstParagraph"/>
      </w:pPr>
      <w:r>
        <w:t xml:space="preserve">Please quote the Invoice Number</w:t>
      </w:r>
      <w:r>
        <w:t xml:space="preserve"> </w:t>
      </w:r>
      <w:r>
        <w:rPr>
          <w:bCs/>
          <w:b/>
        </w:rPr>
        <w:t xml:space="preserve">INV-2023-10-042</w:t>
      </w:r>
      <w:r>
        <w:t xml:space="preserve"> </w:t>
      </w:r>
      <w:r>
        <w:t xml:space="preserve">in the payment reference to ensure correct allocation.</w:t>
      </w:r>
    </w:p>
    <w:p>
      <w:pPr>
        <w:pStyle w:val="BodyText"/>
      </w:pPr>
      <w:r>
        <w:rPr>
          <w:bCs/>
          <w:b/>
        </w:rPr>
        <w:t xml:space="preserve">Terms and Conditions:</w:t>
      </w:r>
      <w:r>
        <w:br/>
      </w:r>
      <w:r>
        <w:t xml:space="preserve">1. Payment is due within 30 days of the invoice date.</w:t>
      </w:r>
      <w:r>
        <w:br/>
      </w:r>
      <w:r>
        <w:t xml:space="preserve">2. Late payments may incur interest at a rate of 4% above the Bank of England base rate.</w:t>
      </w:r>
      <w:r>
        <w:br/>
      </w:r>
      <w:r>
        <w:t xml:space="preserve">3. All services provided by this Medical Researcher are subject to the confidentiality agreements signed between the parties.</w:t>
      </w:r>
      <w:r>
        <w:br/>
      </w:r>
      <w:r>
        <w:t xml:space="preserve">4. This Invoice is governed by the laws of England and Wales.</w:t>
      </w:r>
    </w:p>
    <w:bookmarkEnd w:id="24"/>
    <w:p>
      <w:pPr>
        <w:pStyle w:val="BodyText"/>
      </w:pPr>
      <w:r>
        <w:t xml:space="preserve">Thank you for your business. We appreciate your trust in our medical research expertise.</w:t>
      </w:r>
      <w:r>
        <w:br/>
      </w:r>
      <w:r>
        <w:t xml:space="preserve">Dr. Eleanor Vance | Senior Medical Researcher | London, United Kingdom</w:t>
      </w:r>
      <w:r>
        <w:br/>
      </w:r>
      <w:r>
        <w:t xml:space="preserve">Registered in England &amp;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2026-10-10T05:54:02Z</dcterms:created>
  <dcterms:modified xsi:type="dcterms:W3CDTF">2026-10-10T05:54:02Z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