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advanced-clinical-research-solutions"/>
    <w:p>
      <w:pPr>
        <w:pStyle w:val="Heading1"/>
      </w:pPr>
      <w:r>
        <w:t xml:space="preserve">Advanced Clinical Research Solutions</w:t>
      </w:r>
    </w:p>
    <w:p>
      <w:pPr>
        <w:pStyle w:val="FirstParagraph"/>
      </w:pPr>
      <w:r>
        <w:t xml:space="preserve">1200 McKinney Street, Suite 400</w:t>
      </w:r>
    </w:p>
    <w:p>
      <w:pPr>
        <w:pStyle w:val="BodyText"/>
      </w:pPr>
      <w:r>
        <w:t xml:space="preserve">Houston, Texas 77010</w:t>
      </w:r>
    </w:p>
    <w:p>
      <w:pPr>
        <w:pStyle w:val="BodyText"/>
      </w:pPr>
      <w:r>
        <w:t xml:space="preserve">United States</w:t>
      </w:r>
    </w:p>
    <w:p>
      <w:pPr>
        <w:pStyle w:val="BodyText"/>
      </w:pPr>
      <w:r>
        <w:t xml:space="preserve">Phone: (713) 555-0199</w:t>
      </w:r>
    </w:p>
    <w:p>
      <w:pPr>
        <w:pStyle w:val="BodyText"/>
      </w:pPr>
      <w:r>
        <w:t xml:space="preserve">Email: billing@acrs-houston.com</w:t>
      </w:r>
    </w:p>
    <w:p>
      <w:pPr>
        <w:pStyle w:val="BodyText"/>
      </w:pPr>
      <w:r>
        <w:t xml:space="preserve">Tax ID: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INV-2023-HOU-8842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Galveston Bay Biomedical Institute</w:t>
      </w:r>
    </w:p>
    <w:p>
      <w:pPr>
        <w:pStyle w:val="BodyText"/>
      </w:pPr>
      <w:r>
        <w:t xml:space="preserve">Attn: Procurement Department</w:t>
      </w:r>
    </w:p>
    <w:p>
      <w:pPr>
        <w:pStyle w:val="BodyText"/>
      </w:pPr>
      <w:r>
        <w:t xml:space="preserve">5000 Gulf Freeway</w:t>
      </w:r>
    </w:p>
    <w:p>
      <w:pPr>
        <w:pStyle w:val="BodyText"/>
      </w:pPr>
      <w:r>
        <w:t xml:space="preserve">Houston, Texas 77054</w:t>
      </w:r>
    </w:p>
    <w:p>
      <w:pPr>
        <w:pStyle w:val="BodyText"/>
      </w:pPr>
      <w:r>
        <w:t xml:space="preserve">United States</w:t>
      </w:r>
    </w:p>
    <w:bookmarkEnd w:id="22"/>
    <w:bookmarkStart w:id="23" w:name="project-reference"/>
    <w:p>
      <w:pPr>
        <w:pStyle w:val="Heading3"/>
      </w:pPr>
      <w:r>
        <w:t xml:space="preserve">Project Reference:</w:t>
      </w:r>
    </w:p>
    <w:p>
      <w:pPr>
        <w:pStyle w:val="FirstParagraph"/>
      </w:pPr>
      <w:r>
        <w:rPr>
          <w:bCs/>
          <w:b/>
        </w:rPr>
        <w:t xml:space="preserve">Project ID:</w:t>
      </w:r>
      <w:r>
        <w:t xml:space="preserve"> </w:t>
      </w:r>
      <w:r>
        <w:t xml:space="preserve">GBBI-2023-ONCO-04</w:t>
      </w:r>
    </w:p>
    <w:p>
      <w:pPr>
        <w:pStyle w:val="BodyText"/>
      </w:pPr>
      <w:r>
        <w:rPr>
          <w:bCs/>
          <w:b/>
        </w:rPr>
        <w:t xml:space="preserve">Subject:</w:t>
      </w:r>
      <w:r>
        <w:t xml:space="preserve"> </w:t>
      </w:r>
      <w:r>
        <w:t xml:space="preserve">Phase II Clinical Trial Data Analysis</w:t>
      </w:r>
    </w:p>
    <w:p>
      <w:pPr>
        <w:pStyle w:val="BodyText"/>
      </w:pPr>
      <w:r>
        <w:rPr>
          <w:bCs/>
          <w:b/>
        </w:rPr>
        <w:t xml:space="preserve">Location:</w:t>
      </w:r>
      <w:r>
        <w:t xml:space="preserve"> </w:t>
      </w:r>
      <w:r>
        <w:t xml:space="preserve">Houston, TX</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Medical Researcher Consultation</w:t>
            </w:r>
            <w:r>
              <w:br/>
            </w:r>
            <w:r>
              <w:t xml:space="preserve">Comprehensive review of oncology trial protocols in accordance with FDA guidelines. This service includes the evaluation of inclusion/exclusion criteria for the Houston-based patient cohort and ensuring alignment with current United States federal regulations regarding human subject research.</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Statistical Data Analysis &amp; Interpretation</w:t>
            </w:r>
            <w:r>
              <w:br/>
            </w:r>
            <w:r>
              <w:t xml:space="preserve">Advanced biostatistical analysis of longitudinal data collected from clinical sites in the Greater Houston area. The Medical Researcher performed multivariate regression analysis to determine efficacy markers, utilizing SAS and R software environments. Includes generation of visual data representations for stakeholder review.</w:t>
            </w:r>
          </w:p>
        </w:tc>
        <w:tc>
          <w:tcPr/>
          <w:p>
            <w:pPr>
              <w:pStyle w:val="Compact"/>
              <w:jc w:val="left"/>
            </w:pPr>
            <w:r>
              <w:t xml:space="preserve">60.0</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Investigator Brochures and Informed Consent Forms tailored for the diverse demographic of Houston, Texas. Ensuring all documentation meets the ethical standards required by the Institutional Review Board (IRB) and adheres to the Health Insurance Portability and Accountability Act (HIPAA) of the United States.</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4</w:t>
            </w:r>
          </w:p>
        </w:tc>
        <w:tc>
          <w:tcPr/>
          <w:p>
            <w:pPr>
              <w:pStyle w:val="Compact"/>
              <w:jc w:val="left"/>
            </w:pPr>
            <w:r>
              <w:rPr>
                <w:bCs/>
                <w:b/>
              </w:rPr>
              <w:t xml:space="preserve">Medical Writing &amp; Manuscript Preparation</w:t>
            </w:r>
            <w:r>
              <w:br/>
            </w:r>
            <w:r>
              <w:t xml:space="preserve">Drafting of the primary research manuscript for submission to peer-reviewed journals. The Medical Researcher synthesized findings regarding the therapeutic intervention, focusing on implications for public health policy in the United States. Includes editing and formatting according to AMA style guidelines.</w:t>
            </w:r>
          </w:p>
        </w:tc>
        <w:tc>
          <w:tcPr/>
          <w:p>
            <w:pPr>
              <w:pStyle w:val="Compact"/>
              <w:jc w:val="left"/>
            </w:pPr>
            <w:r>
              <w:t xml:space="preserve">30.0</w:t>
            </w:r>
          </w:p>
        </w:tc>
        <w:tc>
          <w:tcPr/>
          <w:p>
            <w:pPr>
              <w:pStyle w:val="Compact"/>
              <w:jc w:val="left"/>
            </w:pPr>
            <w:r>
              <w:t xml:space="preserve">$225.00</w:t>
            </w:r>
          </w:p>
        </w:tc>
        <w:tc>
          <w:tcPr/>
          <w:p>
            <w:pPr>
              <w:pStyle w:val="Compact"/>
              <w:jc w:val="left"/>
            </w:pPr>
            <w:r>
              <w:t xml:space="preserve">$6,750.00</w:t>
            </w:r>
          </w:p>
        </w:tc>
      </w:tr>
      <w:tr>
        <w:tc>
          <w:tcPr/>
          <w:p>
            <w:pPr>
              <w:pStyle w:val="Compact"/>
              <w:jc w:val="left"/>
            </w:pPr>
            <w:r>
              <w:t xml:space="preserve">5</w:t>
            </w:r>
          </w:p>
        </w:tc>
        <w:tc>
          <w:tcPr/>
          <w:p>
            <w:pPr>
              <w:pStyle w:val="Compact"/>
              <w:jc w:val="left"/>
            </w:pPr>
            <w:r>
              <w:rPr>
                <w:bCs/>
                <w:b/>
              </w:rPr>
              <w:t xml:space="preserve">Site Monitoring &amp; Quality Assurance</w:t>
            </w:r>
            <w:r>
              <w:br/>
            </w:r>
            <w:r>
              <w:t xml:space="preserve">On-site visits to clinical research facilities located in Houston to verify data integrity and protocol adherence. The Medical Researcher conducted source data verification (SDV) and interviewed site personnel to ensure the highest standards of clinical trial conduct within the United States healthcare system.</w:t>
            </w:r>
          </w:p>
        </w:tc>
        <w:tc>
          <w:tcPr/>
          <w:p>
            <w:pPr>
              <w:pStyle w:val="Compact"/>
              <w:jc w:val="left"/>
            </w:pPr>
            <w:r>
              <w:t xml:space="preserve">15.0</w:t>
            </w:r>
          </w:p>
        </w:tc>
        <w:tc>
          <w:tcPr/>
          <w:p>
            <w:pPr>
              <w:pStyle w:val="Compact"/>
              <w:jc w:val="left"/>
            </w:pPr>
            <w:r>
              <w:t xml:space="preserve">$300.00</w:t>
            </w:r>
          </w:p>
        </w:tc>
        <w:tc>
          <w:tcPr/>
          <w:p>
            <w:pPr>
              <w:pStyle w:val="Compact"/>
              <w:jc w:val="left"/>
            </w:pPr>
            <w:r>
              <w:t xml:space="preserve">$4,500.00</w:t>
            </w:r>
          </w:p>
        </w:tc>
      </w:tr>
    </w:tbl>
    <w:p>
      <w:pPr>
        <w:pStyle w:val="BodyText"/>
      </w:pPr>
      <w:r>
        <w:t xml:space="preserve">Subtotal:</w:t>
      </w:r>
      <w:r>
        <w:t xml:space="preserve"> </w:t>
      </w:r>
      <w:r>
        <w:t xml:space="preserve">$44,000.00</w:t>
      </w:r>
    </w:p>
    <w:p>
      <w:pPr>
        <w:pStyle w:val="BodyText"/>
      </w:pPr>
      <w:r>
        <w:t xml:space="preserve">Texas State Sales Tax (Exempt - Professional Services):</w:t>
      </w:r>
      <w:r>
        <w:t xml:space="preserve"> </w:t>
      </w:r>
      <w:r>
        <w:t xml:space="preserve">$0.00</w:t>
      </w:r>
    </w:p>
    <w:p>
      <w:pPr>
        <w:pStyle w:val="BodyText"/>
      </w:pPr>
      <w:r>
        <w:t xml:space="preserve">Federal Excise Tax:</w:t>
      </w:r>
      <w:r>
        <w:t xml:space="preserve"> </w:t>
      </w:r>
      <w:r>
        <w:t xml:space="preserve">$0.00</w:t>
      </w:r>
    </w:p>
    <w:p>
      <w:pPr>
        <w:pStyle w:val="BodyText"/>
      </w:pPr>
      <w:r>
        <w:t xml:space="preserve">Total Due (USD):</w:t>
      </w:r>
      <w:r>
        <w:t xml:space="preserve"> </w:t>
      </w:r>
      <w:r>
        <w:t xml:space="preserve">$44,000.00</w:t>
      </w:r>
    </w:p>
    <w:bookmarkStart w:id="24" w:name="terms-conditions-and-important-notes"/>
    <w:p>
      <w:pPr>
        <w:pStyle w:val="Heading4"/>
      </w:pPr>
      <w:r>
        <w:t xml:space="preserve">Terms, Conditions, and Important Notes</w:t>
      </w:r>
    </w:p>
    <w:p>
      <w:pPr>
        <w:pStyle w:val="FirstParagraph"/>
      </w:pPr>
      <w:r>
        <w:rPr>
          <w:bCs/>
          <w:b/>
        </w:rPr>
        <w:t xml:space="preserve">1. Payment Instructions:</w:t>
      </w:r>
      <w:r>
        <w:t xml:space="preserve"> </w:t>
      </w:r>
      <w:r>
        <w:t xml:space="preserve">Please remit payment via wire transfer or check payable to "Advanced Clinical Research Solutions." Checks should be mailed to the Houston address listed in the header. For wire transfers, please contact our finance department for banking details.</w:t>
      </w:r>
    </w:p>
    <w:p>
      <w:pPr>
        <w:pStyle w:val="BodyText"/>
      </w:pPr>
      <w:r>
        <w:rPr>
          <w:bCs/>
          <w:b/>
        </w:rPr>
        <w:t xml:space="preserve">2. Late Fees:</w:t>
      </w:r>
      <w:r>
        <w:t xml:space="preserve"> </w:t>
      </w:r>
      <w:r>
        <w:t xml:space="preserve">In accordance with standard business practices in the United States, a late fee of 1.5% per month will be applied to any balance remaining unpaid after the due date of November 23, 2023.</w:t>
      </w:r>
    </w:p>
    <w:p>
      <w:pPr>
        <w:pStyle w:val="BodyText"/>
      </w:pPr>
      <w:r>
        <w:rPr>
          <w:bCs/>
          <w:b/>
        </w:rPr>
        <w:t xml:space="preserve">3. Scope of Work:</w:t>
      </w:r>
      <w:r>
        <w:t xml:space="preserve"> </w:t>
      </w:r>
      <w:r>
        <w:t xml:space="preserve">This Invoice covers the professional services rendered by our Senior Medical Researcher specifically for the project referenced above. Any additional research, analysis, or consulting required beyond the scope defined in the initial contract will be billed separately.</w:t>
      </w:r>
    </w:p>
    <w:p>
      <w:pPr>
        <w:pStyle w:val="BodyText"/>
      </w:pPr>
      <w:r>
        <w:rPr>
          <w:bCs/>
          <w:b/>
        </w:rPr>
        <w:t xml:space="preserve">4. Confidentiality:</w:t>
      </w:r>
      <w:r>
        <w:t xml:space="preserve"> </w:t>
      </w:r>
      <w:r>
        <w:t xml:space="preserve">All data, findings, and proprietary information shared during the course of this engagement in Houston are subject to the Non-Disclosure Agreement (NDA) signed on January 15, 2023. The Medical Researcher guarantees strict adherence to data privacy laws.</w:t>
      </w:r>
    </w:p>
    <w:p>
      <w:pPr>
        <w:pStyle w:val="BodyText"/>
      </w:pPr>
      <w:r>
        <w:rPr>
          <w:bCs/>
          <w:b/>
        </w:rPr>
        <w:t xml:space="preserve">5. Disputes:</w:t>
      </w:r>
      <w:r>
        <w:t xml:space="preserve"> </w:t>
      </w:r>
      <w:r>
        <w:t xml:space="preserve">Any disputes regarding this Invoice must be raised in writing within ten (10) business days of the invoice date. Failure to do so will result in the Invoice being considered accepted and due.</w:t>
      </w:r>
    </w:p>
    <w:p>
      <w:pPr>
        <w:pStyle w:val="BodyText"/>
      </w:pPr>
      <w:r>
        <w:rPr>
          <w:bCs/>
          <w:b/>
        </w:rPr>
        <w:t xml:space="preserve">6. Governing Law:</w:t>
      </w:r>
      <w:r>
        <w:t xml:space="preserve"> </w:t>
      </w:r>
      <w:r>
        <w:t xml:space="preserve">This Invoice and the services described herein are governed by the laws of the State of Texas and the federal laws of the United States.</w:t>
      </w:r>
    </w:p>
    <w:bookmarkEnd w:id="24"/>
    <w:p>
      <w:pPr>
        <w:pStyle w:val="BodyText"/>
      </w:pPr>
      <w:r>
        <w:rPr>
          <w:bCs/>
          <w:b/>
        </w:rPr>
        <w:t xml:space="preserve">Authorized Signature (Provider)</w:t>
      </w:r>
    </w:p>
    <w:p>
      <w:pPr>
        <w:pStyle w:val="BodyText"/>
      </w:pPr>
      <w:r>
        <w:t xml:space="preserve">Dr. Elena Rostova, Ph.D.</w:t>
      </w:r>
    </w:p>
    <w:p>
      <w:pPr>
        <w:pStyle w:val="BodyText"/>
      </w:pPr>
      <w:r>
        <w:t xml:space="preserve">Lead Medical Researcher</w:t>
      </w:r>
    </w:p>
    <w:p>
      <w:pPr>
        <w:pStyle w:val="BodyText"/>
      </w:pPr>
      <w:r>
        <w:t xml:space="preserve">Advanced Clinical Research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trust in our Medical Researcher services.</w:t>
      </w:r>
    </w:p>
    <w:p>
      <w:pPr>
        <w:pStyle w:val="BodyText"/>
      </w:pPr>
      <w:r>
        <w:t xml:space="preserve">Advanced Clinical Research Solutions | Houston, Texas |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2026-10-10T09:23:27Z</dcterms:created>
  <dcterms:modified xsi:type="dcterms:W3CDTF">2026-10-10T09:23:27Z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