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west-coast-clinical-research-institute"/>
    <w:p>
      <w:pPr>
        <w:pStyle w:val="Heading1"/>
      </w:pPr>
      <w:r>
        <w:t xml:space="preserve">West Coast Clinical Research Institute</w:t>
      </w:r>
    </w:p>
    <w:p>
      <w:pPr>
        <w:pStyle w:val="FirstParagraph"/>
      </w:pPr>
      <w:r>
        <w:t xml:space="preserve">1200 Wilshire Boulevard, Suite 400</w:t>
      </w:r>
    </w:p>
    <w:p>
      <w:pPr>
        <w:pStyle w:val="BodyText"/>
      </w:pPr>
      <w:r>
        <w:t xml:space="preserve">Los Angeles, CA 90017</w:t>
      </w:r>
    </w:p>
    <w:p>
      <w:pPr>
        <w:pStyle w:val="BodyText"/>
      </w:pPr>
      <w:r>
        <w:t xml:space="preserve">United States</w:t>
      </w:r>
    </w:p>
    <w:p>
      <w:pPr>
        <w:pStyle w:val="BodyText"/>
      </w:pPr>
      <w:r>
        <w:t xml:space="preserve">Tel: (213) 555-0199 | Email: billing@wccri-la.com</w:t>
      </w:r>
    </w:p>
    <w:p>
      <w:pPr>
        <w:pStyle w:val="BodyText"/>
      </w:pPr>
      <w:r>
        <w:t xml:space="preserve">Federal Tax ID (EIN): 94-1234567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INV-2023-LA-8842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Dr. Elena Rodriguez, MD, PhD</w:t>
      </w:r>
    </w:p>
    <w:p>
      <w:pPr>
        <w:pStyle w:val="BodyText"/>
      </w:pPr>
      <w:r>
        <w:t xml:space="preserve">Senior Principal Investigator</w:t>
      </w:r>
    </w:p>
    <w:p>
      <w:pPr>
        <w:pStyle w:val="BodyText"/>
      </w:pPr>
      <w:r>
        <w:t xml:space="preserve">UCLA Health System - Department of Oncology</w:t>
      </w:r>
    </w:p>
    <w:p>
      <w:pPr>
        <w:pStyle w:val="BodyText"/>
      </w:pPr>
      <w:r>
        <w:t xml:space="preserve">757 Westwood Plaza</w:t>
      </w:r>
    </w:p>
    <w:p>
      <w:pPr>
        <w:pStyle w:val="BodyText"/>
      </w:pPr>
      <w:r>
        <w:t xml:space="preserve">Los Angeles, CA 90095</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Phase III Clinical Trial: Immunotherapy Efficacy in Melanoma</w:t>
      </w:r>
    </w:p>
    <w:p>
      <w:pPr>
        <w:pStyle w:val="BodyText"/>
      </w:pPr>
      <w:r>
        <w:rPr>
          <w:bCs/>
          <w:b/>
        </w:rPr>
        <w:t xml:space="preserve">Grant Reference:</w:t>
      </w:r>
      <w:r>
        <w:t xml:space="preserve"> </w:t>
      </w:r>
      <w:r>
        <w:t xml:space="preserve">NIH-R01-CA234567</w:t>
      </w:r>
    </w:p>
    <w:p>
      <w:pPr>
        <w:pStyle w:val="BodyText"/>
      </w:pPr>
      <w:r>
        <w:rPr>
          <w:bCs/>
          <w:b/>
        </w:rPr>
        <w:t xml:space="preserve">Service Period:</w:t>
      </w:r>
      <w:r>
        <w:t xml:space="preserve"> </w:t>
      </w:r>
      <w:r>
        <w:t xml:space="preserve">September 1, 2023 - September 30, 2023</w:t>
      </w:r>
    </w:p>
    <w:p>
      <w:pPr>
        <w:pStyle w:val="BodyText"/>
      </w:pPr>
      <w:r>
        <w:rPr>
          <w:bCs/>
          <w:b/>
        </w:rPr>
        <w:t xml:space="preserve">Location:</w:t>
      </w:r>
      <w:r>
        <w:t xml:space="preserve"> </w:t>
      </w:r>
      <w:r>
        <w:t xml:space="preserve">Los Angeles, California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Medical Researcher Consultation &amp; Protocol Design</w:t>
            </w:r>
            <w:r>
              <w:br/>
            </w:r>
            <w:r>
              <w:t xml:space="preserve">Comprehensive review of clinical trial protocols for compliance with FDA regulations and Good Clinical Practice (GCP). Detailed analysis of inclusion/exclusion criteria for the Los Angeles patient demographic.</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Data Analysis &amp; Biostatistics</w:t>
            </w:r>
            <w:r>
              <w:br/>
            </w:r>
            <w:r>
              <w:t xml:space="preserve">Statistical analysis of interim data sets using SAS and R. Generation of survival curves and adverse event reporting tables. Ensuring data integrity in accordance with HIPAA standards within the United States healthcare framework.</w:t>
            </w:r>
          </w:p>
        </w:tc>
        <w:tc>
          <w:tcPr/>
          <w:p>
            <w:pPr>
              <w:pStyle w:val="Compact"/>
              <w:jc w:val="left"/>
            </w:pPr>
            <w:r>
              <w:t xml:space="preserve">32.5</w:t>
            </w:r>
          </w:p>
        </w:tc>
        <w:tc>
          <w:tcPr/>
          <w:p>
            <w:pPr>
              <w:pStyle w:val="Compact"/>
              <w:jc w:val="left"/>
            </w:pPr>
            <w:r>
              <w:t xml:space="preserve">$185.00</w:t>
            </w:r>
          </w:p>
        </w:tc>
        <w:tc>
          <w:tcPr/>
          <w:p>
            <w:pPr>
              <w:pStyle w:val="Compact"/>
              <w:jc w:val="left"/>
            </w:pPr>
            <w:r>
              <w:t xml:space="preserve">$6,012.50</w:t>
            </w:r>
          </w:p>
        </w:tc>
      </w:tr>
      <w:tr>
        <w:tc>
          <w:tcPr/>
          <w:p>
            <w:pPr>
              <w:pStyle w:val="Compact"/>
              <w:jc w:val="left"/>
            </w:pPr>
            <w:r>
              <w:t xml:space="preserve">3</w:t>
            </w:r>
          </w:p>
        </w:tc>
        <w:tc>
          <w:tcPr/>
          <w:p>
            <w:pPr>
              <w:pStyle w:val="Compact"/>
              <w:jc w:val="left"/>
            </w:pPr>
            <w:r>
              <w:rPr>
                <w:bCs/>
                <w:b/>
              </w:rPr>
              <w:t xml:space="preserve">Regulatory Documentation &amp; IRB Submission</w:t>
            </w:r>
            <w:r>
              <w:br/>
            </w:r>
            <w:r>
              <w:t xml:space="preserve">Preparation of Investigator Brochures and Informed Consent Forms tailored for the Los Angeles County ethics board. Coordination with local regulatory bodies to ensure timely approval for patient recruitment.</w:t>
            </w:r>
          </w:p>
        </w:tc>
        <w:tc>
          <w:tcPr/>
          <w:p>
            <w:pPr>
              <w:pStyle w:val="Compact"/>
              <w:jc w:val="left"/>
            </w:pPr>
            <w:r>
              <w:t xml:space="preserve">20.0</w:t>
            </w:r>
          </w:p>
        </w:tc>
        <w:tc>
          <w:tcPr/>
          <w:p>
            <w:pPr>
              <w:pStyle w:val="Compact"/>
              <w:jc w:val="left"/>
            </w:pPr>
            <w:r>
              <w:t xml:space="preserve">$165.00</w:t>
            </w:r>
          </w:p>
        </w:tc>
        <w:tc>
          <w:tcPr/>
          <w:p>
            <w:pPr>
              <w:pStyle w:val="Compact"/>
              <w:jc w:val="left"/>
            </w:pPr>
            <w:r>
              <w:t xml:space="preserve">$3,300.00</w:t>
            </w:r>
          </w:p>
        </w:tc>
      </w:tr>
      <w:tr>
        <w:tc>
          <w:tcPr/>
          <w:p>
            <w:pPr>
              <w:pStyle w:val="Compact"/>
              <w:jc w:val="left"/>
            </w:pPr>
            <w:r>
              <w:t xml:space="preserve">4</w:t>
            </w:r>
          </w:p>
        </w:tc>
        <w:tc>
          <w:tcPr/>
          <w:p>
            <w:pPr>
              <w:pStyle w:val="Compact"/>
              <w:jc w:val="left"/>
            </w:pPr>
            <w:r>
              <w:rPr>
                <w:bCs/>
                <w:b/>
              </w:rPr>
              <w:t xml:space="preserve">Site Monitoring &amp; Quality Assurance</w:t>
            </w:r>
            <w:r>
              <w:br/>
            </w:r>
            <w:r>
              <w:t xml:space="preserve">On-site monitoring visits at the Los Angeles clinical facility. Verification of source data against case report forms. Ensuring adherence to the study protocol and identification of potential compliance risks.</w:t>
            </w:r>
          </w:p>
        </w:tc>
        <w:tc>
          <w:tcPr/>
          <w:p>
            <w:pPr>
              <w:pStyle w:val="Compact"/>
              <w:jc w:val="left"/>
            </w:pPr>
            <w:r>
              <w:t xml:space="preserve">15.0</w:t>
            </w:r>
          </w:p>
        </w:tc>
        <w:tc>
          <w:tcPr/>
          <w:p>
            <w:pPr>
              <w:pStyle w:val="Compact"/>
              <w:jc w:val="left"/>
            </w:pPr>
            <w:r>
              <w:t xml:space="preserve">$190.00</w:t>
            </w:r>
          </w:p>
        </w:tc>
        <w:tc>
          <w:tcPr/>
          <w:p>
            <w:pPr>
              <w:pStyle w:val="Compact"/>
              <w:jc w:val="left"/>
            </w:pPr>
            <w:r>
              <w:t xml:space="preserve">$2,850.00</w:t>
            </w:r>
          </w:p>
        </w:tc>
      </w:tr>
      <w:tr>
        <w:tc>
          <w:tcPr/>
          <w:p>
            <w:pPr>
              <w:pStyle w:val="Compact"/>
              <w:jc w:val="left"/>
            </w:pPr>
            <w:r>
              <w:t xml:space="preserve">5</w:t>
            </w:r>
          </w:p>
        </w:tc>
        <w:tc>
          <w:tcPr/>
          <w:p>
            <w:pPr>
              <w:pStyle w:val="Compact"/>
              <w:jc w:val="left"/>
            </w:pPr>
            <w:r>
              <w:rPr>
                <w:bCs/>
                <w:b/>
              </w:rPr>
              <w:t xml:space="preserve">Scientific Manuscript Preparation</w:t>
            </w:r>
            <w:r>
              <w:br/>
            </w:r>
            <w:r>
              <w:t xml:space="preserve">Drafting of preliminary findings for submission to peer-reviewed medical journals. Literature review and citation management. Formatting according to AMA style guidelines.</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bl>
    <w:p>
      <w:pPr>
        <w:pStyle w:val="BodyText"/>
      </w:pPr>
      <w:r>
        <w:t xml:space="preserve">Subtotal:</w:t>
      </w:r>
      <w:r>
        <w:t xml:space="preserve"> </w:t>
      </w:r>
      <w:r>
        <w:t xml:space="preserve">$20,662.50</w:t>
      </w:r>
    </w:p>
    <w:p>
      <w:pPr>
        <w:pStyle w:val="BodyText"/>
      </w:pPr>
      <w:r>
        <w:t xml:space="preserve">California State Sales Tax (Exempt - Professional Services):</w:t>
      </w:r>
      <w:r>
        <w:t xml:space="preserve"> </w:t>
      </w:r>
      <w:r>
        <w:t xml:space="preserve">$0.00</w:t>
      </w:r>
    </w:p>
    <w:p>
      <w:pPr>
        <w:pStyle w:val="BodyText"/>
      </w:pPr>
      <w:r>
        <w:t xml:space="preserve">Local Los Angeles Business Tax (Exempt):</w:t>
      </w:r>
      <w:r>
        <w:t xml:space="preserve"> </w:t>
      </w:r>
      <w:r>
        <w:t xml:space="preserve">$0.00</w:t>
      </w:r>
    </w:p>
    <w:p>
      <w:pPr>
        <w:pStyle w:val="BodyText"/>
      </w:pPr>
      <w:r>
        <w:t xml:space="preserve">TOTAL DUE:</w:t>
      </w:r>
      <w:r>
        <w:t xml:space="preserve"> </w:t>
      </w:r>
      <w:r>
        <w:t xml:space="preserve">$20,662.50</w:t>
      </w:r>
    </w:p>
    <w:bookmarkStart w:id="24" w:name="payment-instructions"/>
    <w:p>
      <w:pPr>
        <w:pStyle w:val="Heading4"/>
      </w:pPr>
      <w:r>
        <w:t xml:space="preserve">Payment Instructions:</w:t>
      </w:r>
    </w:p>
    <w:p>
      <w:pPr>
        <w:pStyle w:val="FirstParagraph"/>
      </w:pPr>
      <w:r>
        <w:t xml:space="preserve">Please remit payment via wire transfer or check within 30 days of the invoice date. Late payments may be subject to a 1.5% monthly interest charge as per California Commercial Code.</w:t>
      </w:r>
    </w:p>
    <w:p>
      <w:pPr>
        <w:pStyle w:val="BodyText"/>
      </w:pPr>
      <w:r>
        <w:rPr>
          <w:bCs/>
          <w:b/>
        </w:rPr>
        <w:t xml:space="preserve">Bank Name:</w:t>
      </w:r>
      <w:r>
        <w:t xml:space="preserve"> </w:t>
      </w:r>
      <w:r>
        <w:t xml:space="preserve">Bank of America, Los Angeles Branch</w:t>
      </w:r>
    </w:p>
    <w:p>
      <w:pPr>
        <w:pStyle w:val="BodyText"/>
      </w:pPr>
      <w:r>
        <w:rPr>
          <w:bCs/>
          <w:b/>
        </w:rPr>
        <w:t xml:space="preserve">Account Name:</w:t>
      </w:r>
      <w:r>
        <w:t xml:space="preserve"> </w:t>
      </w:r>
      <w:r>
        <w:t xml:space="preserve">West Coast Clinical Research Institute</w:t>
      </w:r>
    </w:p>
    <w:p>
      <w:pPr>
        <w:pStyle w:val="BodyText"/>
      </w:pPr>
      <w:r>
        <w:rPr>
          <w:bCs/>
          <w:b/>
        </w:rPr>
        <w:t xml:space="preserve">Account Number:</w:t>
      </w:r>
      <w:r>
        <w:t xml:space="preserve"> </w:t>
      </w:r>
      <w:r>
        <w:t xml:space="preserve">123456789012</w:t>
      </w:r>
    </w:p>
    <w:p>
      <w:pPr>
        <w:pStyle w:val="BodyText"/>
      </w:pPr>
      <w:r>
        <w:rPr>
          <w:bCs/>
          <w:b/>
        </w:rPr>
        <w:t xml:space="preserve">Routing Number:</w:t>
      </w:r>
      <w:r>
        <w:t xml:space="preserve"> </w:t>
      </w:r>
      <w:r>
        <w:t xml:space="preserve">121000248</w:t>
      </w:r>
    </w:p>
    <w:p>
      <w:pPr>
        <w:pStyle w:val="BodyText"/>
      </w:pPr>
      <w:r>
        <w:rPr>
          <w:bCs/>
          <w:b/>
        </w:rPr>
        <w:t xml:space="preserve">SWIFT Code:</w:t>
      </w:r>
      <w:r>
        <w:t xml:space="preserve"> </w:t>
      </w:r>
      <w:r>
        <w:t xml:space="preserve">BOFAUS3N</w:t>
      </w:r>
    </w:p>
    <w:p>
      <w:pPr>
        <w:pStyle w:val="BodyText"/>
      </w:pPr>
      <w:r>
        <w:rPr>
          <w:bCs/>
          <w:b/>
        </w:rPr>
        <w:t xml:space="preserve">Reference:</w:t>
      </w:r>
      <w:r>
        <w:t xml:space="preserve"> </w:t>
      </w:r>
      <w:r>
        <w:t xml:space="preserve">Please include Invoice Number INV-2023-LA-8842 in the payment reference.</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Services rendered by the Medical Researcher are strictly limited to the descriptions provided above. Any additional services require a written change order.</w:t>
      </w:r>
    </w:p>
    <w:p>
      <w:pPr>
        <w:pStyle w:val="BodyText"/>
      </w:pPr>
      <w:r>
        <w:t xml:space="preserve">2.</w:t>
      </w:r>
      <w:r>
        <w:t xml:space="preserve"> </w:t>
      </w:r>
      <w:r>
        <w:rPr>
          <w:bCs/>
          <w:b/>
        </w:rPr>
        <w:t xml:space="preserve">Confidentiality:</w:t>
      </w:r>
      <w:r>
        <w:t xml:space="preserve"> </w:t>
      </w:r>
      <w:r>
        <w:t xml:space="preserve">All data and information exchanged during this engagement are confidential and subject to the Non-Disclosure Agreement (NDA) signed on August 15, 2023.</w:t>
      </w:r>
    </w:p>
    <w:p>
      <w:pPr>
        <w:pStyle w:val="BodyText"/>
      </w:pPr>
      <w:r>
        <w:t xml:space="preserve">3.</w:t>
      </w:r>
      <w:r>
        <w:t xml:space="preserve"> </w:t>
      </w:r>
      <w:r>
        <w:rPr>
          <w:bCs/>
          <w:b/>
        </w:rPr>
        <w:t xml:space="preserve">Intellectual Property:</w:t>
      </w:r>
      <w:r>
        <w:t xml:space="preserve"> </w:t>
      </w:r>
      <w:r>
        <w:t xml:space="preserve">All research findings, data sets, and manuscripts generated during this period remain the property of the client, subject to the terms of the grant agreement.</w:t>
      </w:r>
    </w:p>
    <w:p>
      <w:pPr>
        <w:pStyle w:val="BodyText"/>
      </w:pPr>
      <w:r>
        <w:t xml:space="preserve">4.</w:t>
      </w:r>
      <w:r>
        <w:t xml:space="preserve"> </w:t>
      </w:r>
      <w:r>
        <w:rPr>
          <w:bCs/>
          <w:b/>
        </w:rPr>
        <w:t xml:space="preserve">Governing Law:</w:t>
      </w:r>
      <w:r>
        <w:t xml:space="preserve"> </w:t>
      </w:r>
      <w:r>
        <w:t xml:space="preserve">This Invoice and the services described herein are governed by the laws of the State of California, United States. Any disputes shall be resolved in the courts of Los Angeles County.</w:t>
      </w:r>
    </w:p>
    <w:p>
      <w:pPr>
        <w:pStyle w:val="BodyText"/>
      </w:pPr>
      <w:r>
        <w:t xml:space="preserve">5.</w:t>
      </w:r>
      <w:r>
        <w:t xml:space="preserve"> </w:t>
      </w:r>
      <w:r>
        <w:rPr>
          <w:bCs/>
          <w:b/>
        </w:rPr>
        <w:t xml:space="preserve">Compliance:</w:t>
      </w:r>
      <w:r>
        <w:t xml:space="preserve"> </w:t>
      </w:r>
      <w:r>
        <w:t xml:space="preserve">The Medical Researcher warrants that all services have been performed in accordance with applicable federal and state regulations, including but not limited to HIPAA, FDA 21 CFR Part 11, and OSHA standards.</w:t>
      </w:r>
    </w:p>
    <w:p>
      <w:pPr>
        <w:pStyle w:val="BodyText"/>
      </w:pPr>
      <w:r>
        <w:t xml:space="preserve">6.</w:t>
      </w:r>
      <w:r>
        <w:t xml:space="preserve"> </w:t>
      </w:r>
      <w:r>
        <w:rPr>
          <w:bCs/>
          <w:b/>
        </w:rPr>
        <w:t xml:space="preserve">Disputes:</w:t>
      </w:r>
      <w:r>
        <w:t xml:space="preserve"> </w:t>
      </w:r>
      <w:r>
        <w:t xml:space="preserve">Any discrepancies regarding this Invoice must be reported in writing within 10 business days of receipt. Failure to report discrepancies within this timeframe will result in the Invoice being considered accepted.</w:t>
      </w:r>
    </w:p>
    <w:bookmarkEnd w:id="25"/>
    <w:p>
      <w:pPr>
        <w:pStyle w:val="BodyText"/>
      </w:pPr>
      <w:r>
        <w:rPr>
          <w:bCs/>
          <w:b/>
        </w:rPr>
        <w:t xml:space="preserve">Authorized By (Provider):</w:t>
      </w:r>
    </w:p>
    <w:p>
      <w:pPr>
        <w:pStyle w:val="BodyText"/>
      </w:pPr>
      <w:r>
        <w:t xml:space="preserve">James T. Anderson, PhD</w:t>
      </w:r>
    </w:p>
    <w:p>
      <w:pPr>
        <w:pStyle w:val="BodyText"/>
      </w:pPr>
      <w:r>
        <w:t xml:space="preserve">Lead Medical Researcher</w:t>
      </w:r>
    </w:p>
    <w:p>
      <w:pPr>
        <w:pStyle w:val="BodyText"/>
      </w:pPr>
      <w:r>
        <w:t xml:space="preserve">West Coast Clinical Research Institute</w:t>
      </w:r>
    </w:p>
    <w:p>
      <w:pPr>
        <w:pStyle w:val="BodyText"/>
      </w:pPr>
      <w:r>
        <w:t xml:space="preserve">Los Angeles, CA</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your trust in our Medical Researcher services.</w:t>
      </w:r>
    </w:p>
    <w:p>
      <w:pPr>
        <w:pStyle w:val="BodyText"/>
      </w:pPr>
      <w:r>
        <w:t xml:space="preserve">West Coast Clinical Research Institute | 1200 Wilshire Boulevard, Suite 400, Los Angeles, CA 90017, United States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2026-10-10T07:49:26Z</dcterms:created>
  <dcterms:modified xsi:type="dcterms:W3CDTF">2026-10-10T07:49:26Z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