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apex-clinical-research-solutions"/>
    <w:p>
      <w:pPr>
        <w:pStyle w:val="Heading1"/>
      </w:pPr>
      <w:r>
        <w:t xml:space="preserve">Apex Clinical Research Solutions</w:t>
      </w:r>
    </w:p>
    <w:p>
      <w:pPr>
        <w:pStyle w:val="FirstParagraph"/>
      </w:pPr>
      <w:r>
        <w:t xml:space="preserve">1234 Market Street, Suite 500</w:t>
      </w:r>
    </w:p>
    <w:p>
      <w:pPr>
        <w:pStyle w:val="BodyText"/>
      </w:pPr>
      <w:r>
        <w:t xml:space="preserve">San Francisco, CA 94103</w:t>
      </w:r>
    </w:p>
    <w:p>
      <w:pPr>
        <w:pStyle w:val="BodyText"/>
      </w:pPr>
      <w:r>
        <w:t xml:space="preserve">United States</w:t>
      </w:r>
    </w:p>
    <w:p>
      <w:pPr>
        <w:pStyle w:val="BodyText"/>
      </w:pPr>
      <w:r>
        <w:t xml:space="preserve">Phone: (415) 555-0198</w:t>
      </w:r>
    </w:p>
    <w:p>
      <w:pPr>
        <w:pStyle w:val="BodyText"/>
      </w:pPr>
      <w:r>
        <w:t xml:space="preserve">Email: billing@apexclinicalresearch.com</w:t>
      </w:r>
    </w:p>
    <w:p>
      <w:pPr>
        <w:pStyle w:val="BodyText"/>
      </w:pPr>
      <w:r>
        <w:t xml:space="preserve">FEIN: 94-1234567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Global Pharma Innovations Inc.</w:t>
      </w:r>
    </w:p>
    <w:p>
      <w:pPr>
        <w:pStyle w:val="BodyText"/>
      </w:pPr>
      <w:r>
        <w:t xml:space="preserve">Attn: Accounts Payable Department</w:t>
      </w:r>
    </w:p>
    <w:p>
      <w:pPr>
        <w:pStyle w:val="BodyText"/>
      </w:pPr>
      <w:r>
        <w:t xml:space="preserve">500 Montgomery Street, Floor 12</w:t>
      </w:r>
    </w:p>
    <w:p>
      <w:pPr>
        <w:pStyle w:val="BodyText"/>
      </w:pPr>
      <w:r>
        <w:t xml:space="preserve">San Francisco, CA 94111</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Phase III Oncology Trial Analysis</w:t>
      </w:r>
    </w:p>
    <w:p>
      <w:pPr>
        <w:pStyle w:val="BodyText"/>
      </w:pPr>
      <w:r>
        <w:rPr>
          <w:bCs/>
          <w:b/>
        </w:rPr>
        <w:t xml:space="preserve">Contract Reference:</w:t>
      </w:r>
      <w:r>
        <w:t xml:space="preserve"> </w:t>
      </w:r>
      <w:r>
        <w:t xml:space="preserve">CTR-SF-2023-009</w:t>
      </w:r>
    </w:p>
    <w:p>
      <w:pPr>
        <w:pStyle w:val="BodyText"/>
      </w:pPr>
      <w:r>
        <w:rPr>
          <w:bCs/>
          <w:b/>
        </w:rPr>
        <w:t xml:space="preserve">Service Period:</w:t>
      </w:r>
      <w:r>
        <w:t xml:space="preserve"> </w:t>
      </w:r>
      <w:r>
        <w:t xml:space="preserve">September 1, 2023 - September 30, 2023</w:t>
      </w:r>
    </w:p>
    <w:p>
      <w:pPr>
        <w:pStyle w:val="BodyText"/>
      </w:pPr>
      <w:r>
        <w:rPr>
          <w:bCs/>
          <w:b/>
        </w:rPr>
        <w:t xml:space="preserve">Location:</w:t>
      </w:r>
      <w:r>
        <w:t xml:space="preserve"> </w:t>
      </w:r>
      <w:r>
        <w:t xml:space="preserve">San Francisco Bay Area, CA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Medical Researcher Consultation</w:t>
            </w:r>
            <w:r>
              <w:br/>
            </w:r>
            <w:r>
              <w:t xml:space="preserve">Comprehensive review of clinical trial protocols for Phase III oncology study. This service includes the evaluation of inclusion/exclusion criteria, safety monitoring plans, and statistical analysis plans in accordance with FDA guidelines and Good Clinical Practice (GCP).</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Data Integrity and Statistical Analysis</w:t>
            </w:r>
            <w:r>
              <w:br/>
            </w:r>
            <w:r>
              <w:t xml:space="preserve">Advanced biostatistical analysis of interim patient data. The Medical Researcher performed rigorous data cleaning, outlier detection, and hypothesis testing to ensure the validity of the research outcomes. This work was conducted specifically to support regulatory submissions within the United States jurisdiction.</w:t>
            </w:r>
          </w:p>
        </w:tc>
        <w:tc>
          <w:tcPr/>
          <w:p>
            <w:pPr>
              <w:pStyle w:val="Compact"/>
              <w:jc w:val="left"/>
            </w:pPr>
            <w:r>
              <w:t xml:space="preserve">32.5</w:t>
            </w:r>
          </w:p>
        </w:tc>
        <w:tc>
          <w:tcPr/>
          <w:p>
            <w:pPr>
              <w:pStyle w:val="Compact"/>
              <w:jc w:val="left"/>
            </w:pPr>
            <w:r>
              <w:t xml:space="preserve">275.00</w:t>
            </w:r>
          </w:p>
        </w:tc>
        <w:tc>
          <w:tcPr/>
          <w:p>
            <w:pPr>
              <w:pStyle w:val="Compact"/>
              <w:jc w:val="left"/>
            </w:pPr>
            <w:r>
              <w:t xml:space="preserve">8,937.50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essential documents for the Institutional Review Board (IRB) and FDA compliance. This includes drafting informed consent forms, adverse event reporting logs, and site monitoring reports tailored to the specific regulatory environment of San Francisco and California state laws.</w:t>
            </w:r>
          </w:p>
        </w:tc>
        <w:tc>
          <w:tcPr/>
          <w:p>
            <w:pPr>
              <w:pStyle w:val="Compact"/>
              <w:jc w:val="left"/>
            </w:pPr>
            <w:r>
              <w:t xml:space="preserve">24.0</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4</w:t>
            </w:r>
          </w:p>
        </w:tc>
        <w:tc>
          <w:tcPr/>
          <w:p>
            <w:pPr>
              <w:pStyle w:val="Compact"/>
              <w:jc w:val="left"/>
            </w:pPr>
            <w:r>
              <w:rPr>
                <w:bCs/>
                <w:b/>
              </w:rPr>
              <w:t xml:space="preserve">Medical Writing and Manuscript Preparation</w:t>
            </w:r>
            <w:r>
              <w:br/>
            </w:r>
            <w:r>
              <w:t xml:space="preserve">Drafting of scientific manuscripts and clinical study reports. The Medical Researcher synthesized complex clinical data into clear, concise, and publication-ready documents suitable for peer-reviewed journals and internal stakeholder presentations in the San Francisco biotech sector.</w:t>
            </w:r>
          </w:p>
        </w:tc>
        <w:tc>
          <w:tcPr/>
          <w:p>
            <w:pPr>
              <w:pStyle w:val="Compact"/>
              <w:jc w:val="left"/>
            </w:pPr>
            <w:r>
              <w:t xml:space="preserve">16.0</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Site Visit and Clinical Oversight</w:t>
            </w:r>
            <w:r>
              <w:br/>
            </w:r>
            <w:r>
              <w:t xml:space="preserve">On-site monitoring visit to the clinical trial site located in San Francisco. The Medical Researcher verified source data, ensured protocol adherence, and conducted training sessions for site staff regarding updated safety guidelines and data entry procedures.</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w:t>
            </w:r>
          </w:p>
        </w:tc>
      </w:tr>
    </w:tbl>
    <w:p>
      <w:pPr>
        <w:pStyle w:val="BodyText"/>
      </w:pPr>
      <w:r>
        <w:t xml:space="preserve">Subtotal:</w:t>
      </w:r>
      <w:r>
        <w:t xml:space="preserve"> </w:t>
      </w:r>
      <w:r>
        <w:t xml:space="preserve">$29,937.50</w:t>
      </w:r>
    </w:p>
    <w:p>
      <w:pPr>
        <w:pStyle w:val="BodyText"/>
      </w:pPr>
      <w:r>
        <w:t xml:space="preserve">Discount (Early Bird):</w:t>
      </w:r>
      <w:r>
        <w:t xml:space="preserve"> </w:t>
      </w:r>
      <w:r>
        <w:t xml:space="preserve">$0.00</w:t>
      </w:r>
    </w:p>
    <w:p>
      <w:pPr>
        <w:pStyle w:val="BodyText"/>
      </w:pPr>
      <w:r>
        <w:t xml:space="preserve">Tax (CA Sales Tax 8.5%):</w:t>
      </w:r>
      <w:r>
        <w:t xml:space="preserve"> </w:t>
      </w:r>
      <w:r>
        <w:t xml:space="preserve">$2,544.69</w:t>
      </w:r>
    </w:p>
    <w:p>
      <w:pPr>
        <w:pStyle w:val="BodyText"/>
      </w:pPr>
      <w:r>
        <w:t xml:space="preserve">TOTAL DUE:</w:t>
      </w:r>
      <w:r>
        <w:t xml:space="preserve"> </w:t>
      </w:r>
      <w:r>
        <w:t xml:space="preserve">$32,482.19</w:t>
      </w:r>
    </w:p>
    <w:bookmarkStart w:id="24" w:name="payment-instructions"/>
    <w:p>
      <w:pPr>
        <w:pStyle w:val="Heading4"/>
      </w:pPr>
      <w:r>
        <w:t xml:space="preserve">Payment Instructions:</w:t>
      </w:r>
    </w:p>
    <w:p>
      <w:pPr>
        <w:pStyle w:val="FirstParagraph"/>
      </w:pPr>
      <w:r>
        <w:t xml:space="preserve">Please make checks payable to</w:t>
      </w:r>
      <w:r>
        <w:t xml:space="preserve"> </w:t>
      </w:r>
      <w:r>
        <w:rPr>
          <w:bCs/>
          <w:b/>
        </w:rPr>
        <w:t xml:space="preserve">Apex Clinical Research Solutions</w:t>
      </w:r>
      <w:r>
        <w:t xml:space="preserve"> </w:t>
      </w:r>
      <w:r>
        <w:t xml:space="preserve">and mail to the address listed in the header. For electronic transfers (ACH/Wire), please contact our finance department at finance@apexclinicalresearch.com for banking details.</w:t>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may be subject to a 1.5% monthly interest charge.</w:t>
      </w:r>
    </w:p>
    <w:p>
      <w:pPr>
        <w:pStyle w:val="BodyText"/>
      </w:pPr>
      <w:r>
        <w:t xml:space="preserve">2. All services provided by the Medical Researcher are subject to the confidentiality agreements and non-disclosure agreements (NDA) signed between Apex Clinical Research Solutions and Global Pharma Innovations Inc.</w:t>
      </w:r>
    </w:p>
    <w:p>
      <w:pPr>
        <w:pStyle w:val="BodyText"/>
      </w:pPr>
      <w:r>
        <w:t xml:space="preserve">3. This Invoice reflects professional services rendered in accordance with the standards of the United States healthcare and research industry.</w:t>
      </w:r>
    </w:p>
    <w:p>
      <w:pPr>
        <w:pStyle w:val="BodyText"/>
      </w:pPr>
      <w:r>
        <w:t xml:space="preserve">4. Any disputes regarding this Invoice must be raised in writing within 10 business days of receipt.</w:t>
      </w:r>
    </w:p>
    <w:p>
      <w:pPr>
        <w:pStyle w:val="BodyText"/>
      </w:pPr>
      <w:r>
        <w:t xml:space="preserve">5. Governing Law: This agreement and Invoice are governed by the laws of the State of California, United States.</w:t>
      </w:r>
    </w:p>
    <w:bookmarkEnd w:id="25"/>
    <w:bookmarkStart w:id="26" w:name="service-summary"/>
    <w:p>
      <w:pPr>
        <w:pStyle w:val="Heading4"/>
      </w:pPr>
      <w:r>
        <w:t xml:space="preserve">Service Summary:</w:t>
      </w:r>
    </w:p>
    <w:p>
      <w:pPr>
        <w:pStyle w:val="FirstParagraph"/>
      </w:pPr>
      <w:r>
        <w:t xml:space="preserve">The services detailed above were executed with the highest degree of professional diligence. The Medical Researcher ensured that all data handling, patient privacy measures (HIPAA compliance), and research methodologies met the stringent requirements expected in the San Francisco Bay Area's competitive biomedical landscape. We appreciate your continued partnership in advancing medical science.</w:t>
      </w:r>
    </w:p>
    <w:bookmarkEnd w:id="26"/>
    <w:p>
      <w:pPr>
        <w:pStyle w:val="BodyText"/>
      </w:pPr>
      <w:r>
        <w:t xml:space="preserve">Apex Clinical Research Solutions | 1234 Market Street, Suite 500, San Francisco, CA 94103 | United States</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2026-10-10T08:47:23Z</dcterms:created>
  <dcterms:modified xsi:type="dcterms:W3CDTF">2026-10-10T08:47:23Z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