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Meteorological</w:t>
      </w:r>
      <w:r>
        <w:t xml:space="preserve"> </w:t>
      </w:r>
      <w:r>
        <w:t xml:space="preserve">Consulting</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dr.-katharina-vogel"/>
    <w:p>
      <w:pPr>
        <w:pStyle w:val="Heading1"/>
      </w:pPr>
      <w:r>
        <w:t xml:space="preserve">Dr. Katharina Vogel</w:t>
      </w:r>
    </w:p>
    <w:p>
      <w:pPr>
        <w:pStyle w:val="FirstParagraph"/>
      </w:pPr>
      <w:r>
        <w:t xml:space="preserve">Independent Meteorologist &amp; Atmospheric Consultant</w:t>
      </w:r>
    </w:p>
    <w:p>
      <w:pPr>
        <w:pStyle w:val="BodyText"/>
      </w:pPr>
      <w:r>
        <w:t xml:space="preserve">Atmosphärenforschung &amp; Wetterberatung GmbH</w:t>
      </w:r>
    </w:p>
    <w:p>
      <w:pPr>
        <w:pStyle w:val="BodyText"/>
      </w:pPr>
      <w:r>
        <w:t xml:space="preserve">Invalidenstraße 112, 10115 Berlin, Germany</w:t>
      </w:r>
    </w:p>
    <w:p>
      <w:pPr>
        <w:pStyle w:val="BodyText"/>
      </w:pPr>
      <w:r>
        <w:t xml:space="preserve">Phone: +49 (0)30 4421 8876</w:t>
      </w:r>
    </w:p>
    <w:p>
      <w:pPr>
        <w:pStyle w:val="BodyText"/>
      </w:pPr>
      <w:r>
        <w:t xml:space="preserve">Email: k.vogel@atmosphaeren-berlin.de</w:t>
      </w:r>
    </w:p>
    <w:p>
      <w:pPr>
        <w:pStyle w:val="BodyText"/>
      </w:pPr>
      <w:r>
        <w:t xml:space="preserve">USt-IdNr: DE 318 442 907</w:t>
      </w:r>
    </w:p>
    <w:p>
      <w:pPr>
        <w:pStyle w:val="BodyText"/>
      </w:pPr>
      <w:r>
        <w:t xml:space="preserve">Handelsregister: HRB 158 234 B, Amtsgericht Charlottenburg</w:t>
      </w:r>
    </w:p>
    <w:bookmarkEnd w:id="20"/>
    <w:bookmarkStart w:id="21" w:name="invoice"/>
    <w:p>
      <w:pPr>
        <w:pStyle w:val="Heading2"/>
      </w:pPr>
      <w:r>
        <w:t xml:space="preserve">INVOICE</w:t>
      </w:r>
    </w:p>
    <w:p>
      <w:pPr>
        <w:pStyle w:val="FirstParagraph"/>
      </w:pPr>
      <w:r>
        <w:t xml:space="preserve">Rechnung gemäß § 14 UStG</w:t>
      </w:r>
    </w:p>
    <w:p>
      <w:pPr>
        <w:pStyle w:val="BodyText"/>
      </w:pPr>
      <w:r>
        <w:t xml:space="preserve">Invoice No.: INV-2025-BER-0047</w:t>
      </w:r>
    </w:p>
    <w:p>
      <w:pPr>
        <w:pStyle w:val="BodyText"/>
      </w:pPr>
      <w:r>
        <w:t xml:space="preserve">Issue Date: 15 June 2025</w:t>
      </w:r>
    </w:p>
    <w:p>
      <w:pPr>
        <w:pStyle w:val="BodyText"/>
      </w:pPr>
      <w:r>
        <w:t xml:space="preserve">Due Date: 30 June 2025</w:t>
      </w:r>
    </w:p>
    <w:bookmarkEnd w:id="21"/>
    <w:bookmarkStart w:id="22" w:name="billed-to-rechnungsempfänger"/>
    <w:p>
      <w:pPr>
        <w:pStyle w:val="Heading3"/>
      </w:pPr>
      <w:r>
        <w:t xml:space="preserve">Billed To (Rechnungsempfänger)</w:t>
      </w:r>
    </w:p>
    <w:p>
      <w:pPr>
        <w:pStyle w:val="FirstParagraph"/>
      </w:pPr>
      <w:r>
        <w:rPr>
          <w:bCs/>
          <w:b/>
        </w:rPr>
        <w:t xml:space="preserve">Berlin Metropolitan Energy Authority</w:t>
      </w:r>
    </w:p>
    <w:p>
      <w:pPr>
        <w:pStyle w:val="BodyText"/>
      </w:pPr>
      <w:r>
        <w:t xml:space="preserve">Abteilung Klimaresilienz &amp; Infrastrukturplanung</w:t>
      </w:r>
    </w:p>
    <w:p>
      <w:pPr>
        <w:pStyle w:val="BodyText"/>
      </w:pPr>
      <w:r>
        <w:t xml:space="preserve">Leipziger Straße 140</w:t>
      </w:r>
    </w:p>
    <w:p>
      <w:pPr>
        <w:pStyle w:val="BodyText"/>
      </w:pPr>
      <w:r>
        <w:t xml:space="preserve">10117 Berlin, Germany</w:t>
      </w:r>
    </w:p>
    <w:p>
      <w:pPr>
        <w:pStyle w:val="BodyText"/>
      </w:pPr>
      <w:r>
        <w:t xml:space="preserve">Attn: Dr. Markus Steinbach, Director</w:t>
      </w:r>
    </w:p>
    <w:p>
      <w:pPr>
        <w:pStyle w:val="BodyText"/>
      </w:pPr>
      <w:r>
        <w:t xml:space="preserve">VAT ID: DE 294 771 335</w:t>
      </w:r>
    </w:p>
    <w:bookmarkEnd w:id="22"/>
    <w:bookmarkStart w:id="23" w:name="service-reference"/>
    <w:p>
      <w:pPr>
        <w:pStyle w:val="Heading3"/>
      </w:pPr>
      <w:r>
        <w:t xml:space="preserve">Service Reference</w:t>
      </w:r>
    </w:p>
    <w:p>
      <w:pPr>
        <w:pStyle w:val="FirstParagraph"/>
      </w:pPr>
      <w:r>
        <w:rPr>
          <w:bCs/>
          <w:b/>
        </w:rPr>
        <w:t xml:space="preserve">Project:</w:t>
      </w:r>
      <w:r>
        <w:t xml:space="preserve"> </w:t>
      </w:r>
      <w:r>
        <w:t xml:space="preserve">Climate Risk Assessment for Berlin Urban Infrastructure</w:t>
      </w:r>
    </w:p>
    <w:p>
      <w:pPr>
        <w:pStyle w:val="BodyText"/>
      </w:pPr>
      <w:r>
        <w:rPr>
          <w:bCs/>
          <w:b/>
        </w:rPr>
        <w:t xml:space="preserve">Contract No.:</w:t>
      </w:r>
      <w:r>
        <w:t xml:space="preserve"> </w:t>
      </w:r>
      <w:r>
        <w:t xml:space="preserve">BMEA-CLIM-2025-019</w:t>
      </w:r>
    </w:p>
    <w:p>
      <w:pPr>
        <w:pStyle w:val="BodyText"/>
      </w:pPr>
      <w:r>
        <w:rPr>
          <w:bCs/>
          <w:b/>
        </w:rPr>
        <w:t xml:space="preserve">Service Period:</w:t>
      </w:r>
      <w:r>
        <w:t xml:space="preserve"> </w:t>
      </w:r>
      <w:r>
        <w:t xml:space="preserve">01 March 2025 – 31 May 2025</w:t>
      </w:r>
    </w:p>
    <w:p>
      <w:pPr>
        <w:pStyle w:val="BodyText"/>
      </w:pPr>
      <w:r>
        <w:rPr>
          <w:bCs/>
          <w:b/>
        </w:rPr>
        <w:t xml:space="preserve">Location of Services:</w:t>
      </w:r>
      <w:r>
        <w:t xml:space="preserve"> </w:t>
      </w:r>
      <w:r>
        <w:t xml:space="preserve">Berlin, Germany</w:t>
      </w:r>
    </w:p>
    <w:p>
      <w:pPr>
        <w:pStyle w:val="BodyText"/>
      </w:pPr>
      <w:r>
        <w:rPr>
          <w:bCs/>
          <w:b/>
        </w:rPr>
        <w:t xml:space="preserve">Reference:</w:t>
      </w:r>
      <w:r>
        <w:t xml:space="preserve"> </w:t>
      </w:r>
      <w:r>
        <w:t xml:space="preserve">Meteorological Advisory Services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Pos.</w:t>
            </w:r>
          </w:p>
        </w:tc>
        <w:tc>
          <w:tcPr/>
          <w:p>
            <w:pPr>
              <w:pStyle w:val="Compact"/>
              <w:jc w:val="left"/>
            </w:pPr>
            <w:r>
              <w:t xml:space="preserve">Description of Meteorological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VAT Rate</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meteorological analysis and seasonal weather forecasting for the Berlin metropolitan area, including temperature, precipitation, wind, and humidity projections for urban planning purposes</w:t>
            </w:r>
          </w:p>
        </w:tc>
        <w:tc>
          <w:tcPr/>
          <w:p>
            <w:pPr>
              <w:pStyle w:val="Compact"/>
              <w:jc w:val="left"/>
            </w:pPr>
            <w:r>
              <w:t xml:space="preserve">120 hours</w:t>
            </w:r>
          </w:p>
        </w:tc>
        <w:tc>
          <w:tcPr/>
          <w:p>
            <w:pPr>
              <w:pStyle w:val="Compact"/>
              <w:jc w:val="left"/>
            </w:pPr>
            <w:r>
              <w:t xml:space="preserve">€ 95.00</w:t>
            </w:r>
          </w:p>
        </w:tc>
        <w:tc>
          <w:tcPr/>
          <w:p>
            <w:pPr>
              <w:pStyle w:val="Compact"/>
              <w:jc w:val="left"/>
            </w:pPr>
            <w:r>
              <w:t xml:space="preserve">19%</w:t>
            </w:r>
          </w:p>
        </w:tc>
        <w:tc>
          <w:tcPr/>
          <w:p>
            <w:pPr>
              <w:pStyle w:val="Compact"/>
              <w:jc w:val="left"/>
            </w:pPr>
            <w:r>
              <w:t xml:space="preserve">€ 11,400.00</w:t>
            </w:r>
          </w:p>
        </w:tc>
      </w:tr>
      <w:tr>
        <w:tc>
          <w:tcPr/>
          <w:p>
            <w:pPr>
              <w:pStyle w:val="Compact"/>
              <w:jc w:val="left"/>
            </w:pPr>
            <w:r>
              <w:t xml:space="preserve">2</w:t>
            </w:r>
          </w:p>
        </w:tc>
        <w:tc>
          <w:tcPr/>
          <w:p>
            <w:pPr>
              <w:pStyle w:val="Compact"/>
              <w:jc w:val="left"/>
            </w:pPr>
            <w:r>
              <w:t xml:space="preserve">Atmospheric data collection and processing from ground-based weather stations and satellite imagery across the 12 administrative districts of Berlin, Germany, for climate resilience modeling</w:t>
            </w:r>
          </w:p>
        </w:tc>
        <w:tc>
          <w:tcPr/>
          <w:p>
            <w:pPr>
              <w:pStyle w:val="Compact"/>
              <w:jc w:val="left"/>
            </w:pPr>
            <w:r>
              <w:t xml:space="preserve">85 hours</w:t>
            </w:r>
          </w:p>
        </w:tc>
        <w:tc>
          <w:tcPr/>
          <w:p>
            <w:pPr>
              <w:pStyle w:val="Compact"/>
              <w:jc w:val="left"/>
            </w:pPr>
            <w:r>
              <w:t xml:space="preserve">€ 88.00</w:t>
            </w:r>
          </w:p>
        </w:tc>
        <w:tc>
          <w:tcPr/>
          <w:p>
            <w:pPr>
              <w:pStyle w:val="Compact"/>
              <w:jc w:val="left"/>
            </w:pPr>
            <w:r>
              <w:t xml:space="preserve">19%</w:t>
            </w:r>
          </w:p>
        </w:tc>
        <w:tc>
          <w:tcPr/>
          <w:p>
            <w:pPr>
              <w:pStyle w:val="Compact"/>
              <w:jc w:val="left"/>
            </w:pPr>
            <w:r>
              <w:t xml:space="preserve">€ 7,480.00</w:t>
            </w:r>
          </w:p>
        </w:tc>
      </w:tr>
      <w:tr>
        <w:tc>
          <w:tcPr/>
          <w:p>
            <w:pPr>
              <w:pStyle w:val="Compact"/>
              <w:jc w:val="left"/>
            </w:pPr>
            <w:r>
              <w:t xml:space="preserve">3</w:t>
            </w:r>
          </w:p>
        </w:tc>
        <w:tc>
          <w:tcPr/>
          <w:p>
            <w:pPr>
              <w:pStyle w:val="Compact"/>
              <w:jc w:val="left"/>
            </w:pPr>
            <w:r>
              <w:t xml:space="preserve">Preparation of a detailed meteorological risk assessment report addressing extreme weather events (heatwaves, heavy rainfall, storm systems) relevant to Berlin's critical infrastructure and public safety planning</w:t>
            </w:r>
          </w:p>
        </w:tc>
        <w:tc>
          <w:tcPr/>
          <w:p>
            <w:pPr>
              <w:pStyle w:val="Compact"/>
              <w:jc w:val="left"/>
            </w:pPr>
            <w:r>
              <w:t xml:space="preserve">1 deliverable</w:t>
            </w:r>
          </w:p>
        </w:tc>
        <w:tc>
          <w:tcPr/>
          <w:p>
            <w:pPr>
              <w:pStyle w:val="Compact"/>
              <w:jc w:val="left"/>
            </w:pPr>
            <w:r>
              <w:t xml:space="preserve">€ 4,200.00</w:t>
            </w:r>
          </w:p>
        </w:tc>
        <w:tc>
          <w:tcPr/>
          <w:p>
            <w:pPr>
              <w:pStyle w:val="Compact"/>
              <w:jc w:val="left"/>
            </w:pPr>
            <w:r>
              <w:t xml:space="preserve">19%</w:t>
            </w:r>
          </w:p>
        </w:tc>
        <w:tc>
          <w:tcPr/>
          <w:p>
            <w:pPr>
              <w:pStyle w:val="Compact"/>
              <w:jc w:val="left"/>
            </w:pPr>
            <w:r>
              <w:t xml:space="preserve">€ 4,200.00</w:t>
            </w:r>
          </w:p>
        </w:tc>
      </w:tr>
      <w:tr>
        <w:tc>
          <w:tcPr/>
          <w:p>
            <w:pPr>
              <w:pStyle w:val="Compact"/>
              <w:jc w:val="left"/>
            </w:pPr>
            <w:r>
              <w:t xml:space="preserve">4</w:t>
            </w:r>
          </w:p>
        </w:tc>
        <w:tc>
          <w:tcPr/>
          <w:p>
            <w:pPr>
              <w:pStyle w:val="Compact"/>
              <w:jc w:val="left"/>
            </w:pPr>
            <w:r>
              <w:t xml:space="preserve">On-site meteorological consultation and presentation at the Berlin Metropolitan Energy Authority headquarters, including expert testimony on atmospheric conditions and their projected impact on energy demand patterns in Germany's capital</w:t>
            </w:r>
          </w:p>
        </w:tc>
        <w:tc>
          <w:tcPr/>
          <w:p>
            <w:pPr>
              <w:pStyle w:val="Compact"/>
              <w:jc w:val="left"/>
            </w:pPr>
            <w:r>
              <w:t xml:space="preserve">6 sessions</w:t>
            </w:r>
          </w:p>
        </w:tc>
        <w:tc>
          <w:tcPr/>
          <w:p>
            <w:pPr>
              <w:pStyle w:val="Compact"/>
              <w:jc w:val="left"/>
            </w:pPr>
            <w:r>
              <w:t xml:space="preserve">€ 350.00</w:t>
            </w:r>
          </w:p>
        </w:tc>
        <w:tc>
          <w:tcPr/>
          <w:p>
            <w:pPr>
              <w:pStyle w:val="Compact"/>
              <w:jc w:val="left"/>
            </w:pPr>
            <w:r>
              <w:t xml:space="preserve">19%</w:t>
            </w:r>
          </w:p>
        </w:tc>
        <w:tc>
          <w:tcPr/>
          <w:p>
            <w:pPr>
              <w:pStyle w:val="Compact"/>
              <w:jc w:val="left"/>
            </w:pPr>
            <w:r>
              <w:t xml:space="preserve">€ 2,100.00</w:t>
            </w:r>
          </w:p>
        </w:tc>
      </w:tr>
      <w:tr>
        <w:tc>
          <w:tcPr/>
          <w:p>
            <w:pPr>
              <w:pStyle w:val="Compact"/>
              <w:jc w:val="left"/>
            </w:pPr>
            <w:r>
              <w:t xml:space="preserve">5</w:t>
            </w:r>
          </w:p>
        </w:tc>
        <w:tc>
          <w:tcPr/>
          <w:p>
            <w:pPr>
              <w:pStyle w:val="Compact"/>
              <w:jc w:val="left"/>
            </w:pPr>
            <w:r>
              <w:t xml:space="preserve">Development of a long-term meteorological trend analysis (2025–2040) for the Berlin region, incorporating data from the Deutscher Wetterdienst (DWD) and European Centre for Medium-Range Weather Forecasts (ECMWF) for strategic climate adaptation planning</w:t>
            </w:r>
          </w:p>
        </w:tc>
        <w:tc>
          <w:tcPr/>
          <w:p>
            <w:pPr>
              <w:pStyle w:val="Compact"/>
              <w:jc w:val="left"/>
            </w:pPr>
            <w:r>
              <w:t xml:space="preserve">1 deliverable</w:t>
            </w:r>
          </w:p>
        </w:tc>
        <w:tc>
          <w:tcPr/>
          <w:p>
            <w:pPr>
              <w:pStyle w:val="Compact"/>
              <w:jc w:val="left"/>
            </w:pPr>
            <w:r>
              <w:t xml:space="preserve">€ 6,800.00</w:t>
            </w:r>
          </w:p>
        </w:tc>
        <w:tc>
          <w:tcPr/>
          <w:p>
            <w:pPr>
              <w:pStyle w:val="Compact"/>
              <w:jc w:val="left"/>
            </w:pPr>
            <w:r>
              <w:t xml:space="preserve">19%</w:t>
            </w:r>
          </w:p>
        </w:tc>
        <w:tc>
          <w:tcPr/>
          <w:p>
            <w:pPr>
              <w:pStyle w:val="Compact"/>
              <w:jc w:val="left"/>
            </w:pPr>
            <w:r>
              <w:t xml:space="preserve">€ 6,800.00</w:t>
            </w:r>
          </w:p>
        </w:tc>
      </w:tr>
      <w:tr>
        <w:tc>
          <w:tcPr/>
          <w:p>
            <w:pPr>
              <w:pStyle w:val="Compact"/>
              <w:jc w:val="left"/>
            </w:pPr>
            <w:r>
              <w:t xml:space="preserve">6</w:t>
            </w:r>
          </w:p>
        </w:tc>
        <w:tc>
          <w:tcPr/>
          <w:p>
            <w:pPr>
              <w:pStyle w:val="Compact"/>
              <w:jc w:val="left"/>
            </w:pPr>
            <w:r>
              <w:t xml:space="preserve">Emergency meteorological advisory hotline and rapid-response weather alerting service for Berlin municipal authorities during the spring and early summer 2025 season</w:t>
            </w:r>
          </w:p>
        </w:tc>
        <w:tc>
          <w:tcPr/>
          <w:p>
            <w:pPr>
              <w:pStyle w:val="Compact"/>
              <w:jc w:val="left"/>
            </w:pPr>
            <w:r>
              <w:t xml:space="preserve">13 weeks</w:t>
            </w:r>
          </w:p>
        </w:tc>
        <w:tc>
          <w:tcPr/>
          <w:p>
            <w:pPr>
              <w:pStyle w:val="Compact"/>
              <w:jc w:val="left"/>
            </w:pPr>
            <w:r>
              <w:t xml:space="preserve">€ 480.00</w:t>
            </w:r>
          </w:p>
        </w:tc>
        <w:tc>
          <w:tcPr/>
          <w:p>
            <w:pPr>
              <w:pStyle w:val="Compact"/>
              <w:jc w:val="left"/>
            </w:pPr>
            <w:r>
              <w:t xml:space="preserve">19%</w:t>
            </w:r>
          </w:p>
        </w:tc>
        <w:tc>
          <w:tcPr/>
          <w:p>
            <w:pPr>
              <w:pStyle w:val="Compact"/>
              <w:jc w:val="left"/>
            </w:pPr>
            <w:r>
              <w:t xml:space="preserve">€ 6,240.00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pPr>
          </w:p>
        </w:tc>
        <w:tc>
          <w:tcPr/>
          <w:p>
            <w:pPr>
              <w:pStyle w:val="Compact"/>
              <w:jc w:val="left"/>
            </w:pPr>
            <w:r>
              <w:t xml:space="preserve">Amount (EUR)</w:t>
            </w:r>
          </w:p>
        </w:tc>
      </w:tr>
      <w:tr>
        <w:tc>
          <w:tcPr/>
          <w:p>
            <w:pPr>
              <w:pStyle w:val="Compact"/>
              <w:jc w:val="left"/>
            </w:pPr>
            <w:r>
              <w:t xml:space="preserve">Subtotal (Netto)</w:t>
            </w:r>
          </w:p>
        </w:tc>
        <w:tc>
          <w:tcPr/>
          <w:p>
            <w:pPr>
              <w:pStyle w:val="Compact"/>
              <w:jc w:val="left"/>
            </w:pPr>
            <w:r>
              <w:t xml:space="preserve">€ 38,220.00</w:t>
            </w:r>
          </w:p>
        </w:tc>
      </w:tr>
      <w:tr>
        <w:tc>
          <w:tcPr/>
          <w:p>
            <w:pPr>
              <w:pStyle w:val="Compact"/>
              <w:jc w:val="left"/>
            </w:pPr>
            <w:r>
              <w:t xml:space="preserve">VAT 19% (Mehrwertsteuer)</w:t>
            </w:r>
          </w:p>
        </w:tc>
        <w:tc>
          <w:tcPr/>
          <w:p>
            <w:pPr>
              <w:pStyle w:val="Compact"/>
              <w:jc w:val="left"/>
            </w:pPr>
            <w:r>
              <w:t xml:space="preserve">€ 7,261.80</w:t>
            </w:r>
          </w:p>
        </w:tc>
      </w:tr>
      <w:tr>
        <w:tc>
          <w:tcPr/>
          <w:p>
            <w:pPr>
              <w:pStyle w:val="Compact"/>
              <w:jc w:val="left"/>
            </w:pPr>
            <w:r>
              <w:t xml:space="preserve">Grand Total (Brutto)</w:t>
            </w:r>
          </w:p>
        </w:tc>
        <w:tc>
          <w:tcPr/>
          <w:p>
            <w:pPr>
              <w:pStyle w:val="Compact"/>
              <w:jc w:val="left"/>
            </w:pPr>
            <w:r>
              <w:t xml:space="preserve">€ 45,481.80</w:t>
            </w:r>
          </w:p>
        </w:tc>
      </w:tr>
    </w:tbl>
    <w:bookmarkStart w:id="24" w:name="payment-instructions-zahlungsmodalitäten"/>
    <w:p>
      <w:pPr>
        <w:pStyle w:val="Heading3"/>
      </w:pPr>
      <w:r>
        <w:t xml:space="preserve">Payment Instructions (Zahlungsmodalitäten)</w:t>
      </w:r>
    </w:p>
    <w:p>
      <w:pPr>
        <w:pStyle w:val="FirstParagraph"/>
      </w:pPr>
      <w:r>
        <w:rPr>
          <w:bCs/>
          <w:b/>
        </w:rPr>
        <w:t xml:space="preserve">Payment Method:</w:t>
      </w:r>
      <w:r>
        <w:t xml:space="preserve"> </w:t>
      </w:r>
      <w:r>
        <w:t xml:space="preserve">Bank Transfer (SEPA-Überweisung)</w:t>
      </w:r>
    </w:p>
    <w:p>
      <w:pPr>
        <w:pStyle w:val="BodyText"/>
      </w:pPr>
      <w:r>
        <w:rPr>
          <w:bCs/>
          <w:b/>
        </w:rPr>
        <w:t xml:space="preserve">Bank:</w:t>
      </w:r>
      <w:r>
        <w:t xml:space="preserve"> </w:t>
      </w:r>
      <w:r>
        <w:t xml:space="preserve">Berliner Sparkasse</w:t>
      </w:r>
    </w:p>
    <w:p>
      <w:pPr>
        <w:pStyle w:val="BodyText"/>
      </w:pPr>
      <w:r>
        <w:rPr>
          <w:bCs/>
          <w:b/>
        </w:rPr>
        <w:t xml:space="preserve">IBAN:</w:t>
      </w:r>
      <w:r>
        <w:t xml:space="preserve"> </w:t>
      </w:r>
      <w:r>
        <w:t xml:space="preserve">DE89 1005 0000 0053 2013 33</w:t>
      </w:r>
    </w:p>
    <w:p>
      <w:pPr>
        <w:pStyle w:val="BodyText"/>
      </w:pPr>
      <w:r>
        <w:rPr>
          <w:bCs/>
          <w:b/>
        </w:rPr>
        <w:t xml:space="preserve">BIC:</w:t>
      </w:r>
      <w:r>
        <w:t xml:space="preserve"> </w:t>
      </w:r>
      <w:r>
        <w:t xml:space="preserve">BESSDEBBXXX</w:t>
      </w:r>
    </w:p>
    <w:p>
      <w:pPr>
        <w:pStyle w:val="BodyText"/>
      </w:pPr>
      <w:r>
        <w:rPr>
          <w:bCs/>
          <w:b/>
        </w:rPr>
        <w:t xml:space="preserve">Reference (Verwendungszweck):</w:t>
      </w:r>
      <w:r>
        <w:t xml:space="preserve"> </w:t>
      </w:r>
      <w:r>
        <w:t xml:space="preserve">INV-2025-BER-0047 / BMEA-CLIM-2025-019</w:t>
      </w:r>
    </w:p>
    <w:p>
      <w:pPr>
        <w:pStyle w:val="BodyText"/>
      </w:pPr>
      <w:r>
        <w:rPr>
          <w:bCs/>
          <w:b/>
        </w:rPr>
        <w:t xml:space="preserve">Payment Due:</w:t>
      </w:r>
      <w:r>
        <w:t xml:space="preserve"> </w:t>
      </w:r>
      <w:r>
        <w:t xml:space="preserve">30 June 2025 (14 calendar days from issue date)</w:t>
      </w:r>
    </w:p>
    <w:p>
      <w:pPr>
        <w:pStyle w:val="BodyText"/>
      </w:pPr>
      <w:r>
        <w:rPr>
          <w:bCs/>
          <w:b/>
        </w:rPr>
        <w:t xml:space="preserve">Penalty for Late Payment:</w:t>
      </w:r>
      <w:r>
        <w:t xml:space="preserve"> </w:t>
      </w:r>
      <w:r>
        <w:t xml:space="preserve">5 percentage points above the European Central Bank base rate, in accordance with § 288 BGB</w:t>
      </w:r>
    </w:p>
    <w:bookmarkEnd w:id="24"/>
    <w:bookmarkStart w:id="25" w:name="notes-and-legal-declarations"/>
    <w:p>
      <w:pPr>
        <w:pStyle w:val="Heading3"/>
      </w:pPr>
      <w:r>
        <w:t xml:space="preserve">Notes and Legal Declarations</w:t>
      </w:r>
    </w:p>
    <w:p>
      <w:pPr>
        <w:numPr>
          <w:ilvl w:val="0"/>
          <w:numId w:val="1001"/>
        </w:numPr>
        <w:pStyle w:val="Compact"/>
      </w:pPr>
      <w:r>
        <w:t xml:space="preserve">This invoice is issued in accordance with § 14 of the German VAT Act (Umsatzsteuergesetz – UStG) and § 4 No. 8a UStG for services rendered by an independent meteorologist operating in Berlin, Germany.</w:t>
      </w:r>
    </w:p>
    <w:p>
      <w:pPr>
        <w:numPr>
          <w:ilvl w:val="0"/>
          <w:numId w:val="1001"/>
        </w:numPr>
        <w:pStyle w:val="Compact"/>
      </w:pPr>
      <w:r>
        <w:t xml:space="preserve">All meteorological data, forecasts, and analyses referenced in this invoice were produced by Dr. Katharina Vogel, a certified meteorologist (Dipl.-Met.) and licensed atmospheric scientist registered with the German Meteorological Society (Deutsche Gesellschaft für Meteorologie – DGM).</w:t>
      </w:r>
    </w:p>
    <w:p>
      <w:pPr>
        <w:numPr>
          <w:ilvl w:val="0"/>
          <w:numId w:val="1001"/>
        </w:numPr>
        <w:pStyle w:val="Compact"/>
      </w:pPr>
      <w:r>
        <w:t xml:space="preserve">The services described herein were performed exclusively within the administrative boundaries of Berlin, Germany, and are subject to German commercial law (Handelsgesetzbuch – HGB) and the applicable provisions of the German Civil Code (Bürgerliches Gesetzbuch – BGB).</w:t>
      </w:r>
    </w:p>
    <w:p>
      <w:pPr>
        <w:numPr>
          <w:ilvl w:val="0"/>
          <w:numId w:val="1001"/>
        </w:numPr>
        <w:pStyle w:val="Compact"/>
      </w:pPr>
      <w:r>
        <w:t xml:space="preserve">This invoice constitutes a final and binding statement of all meteorological consulting services rendered under Contract No. BMEA-CLIM-2025-019. No further charges will be incurred for the service period specified above.</w:t>
      </w:r>
    </w:p>
    <w:p>
      <w:pPr>
        <w:numPr>
          <w:ilvl w:val="0"/>
          <w:numId w:val="1001"/>
        </w:numPr>
        <w:pStyle w:val="Compact"/>
      </w:pPr>
      <w:r>
        <w:t xml:space="preserve">The meteorological risk assessment and long-term trend analysis deliverables are the intellectual property of the client upon full payment of this invoice. All raw atmospheric data remains subject to the data licensing terms of the Deutscher Wetterdienst (DWD) and ECMWF.</w:t>
      </w:r>
    </w:p>
    <w:p>
      <w:pPr>
        <w:numPr>
          <w:ilvl w:val="0"/>
          <w:numId w:val="1001"/>
        </w:numPr>
        <w:pStyle w:val="Compact"/>
      </w:pPr>
      <w:r>
        <w:t xml:space="preserve">In the event of a dispute regarding the accuracy or completeness of the meteorological services billed, both parties agree to first seek resolution through mediation before the Berlin Chamber of Commerce (IHK Berlin) prior to initiating formal legal proceedings at the competent court in Berlin, Germany.</w:t>
      </w:r>
    </w:p>
    <w:p>
      <w:pPr>
        <w:numPr>
          <w:ilvl w:val="0"/>
          <w:numId w:val="1001"/>
        </w:numPr>
        <w:pStyle w:val="Compact"/>
      </w:pPr>
      <w:r>
        <w:t xml:space="preserve">This invoice is valid for a period of 10 years from the date of issue, in compliance with § 147 of the German Tax Code (Abgabenordnung – AO).</w:t>
      </w:r>
    </w:p>
    <w:bookmarkEnd w:id="25"/>
    <w:p>
      <w:pPr>
        <w:pStyle w:val="FirstParagraph"/>
      </w:pPr>
      <w:r>
        <w:t xml:space="preserve">Atmosphärenforschung &amp; Wetterberatung GmbH | Invalidenstraße 112, 10115 Berlin, Germany</w:t>
      </w:r>
    </w:p>
    <w:p>
      <w:pPr>
        <w:pStyle w:val="BodyText"/>
      </w:pPr>
      <w:r>
        <w:t xml:space="preserve">Managing Director: Dr. Katharina Vogel | USt-IdNr: DE 318 442 907 | HRB 158 234 B, Amtsgericht Charlottenburg</w:t>
      </w:r>
    </w:p>
    <w:p>
      <w:pPr>
        <w:pStyle w:val="BodyText"/>
      </w:pPr>
      <w:r>
        <w:t xml:space="preserve">This invoice was generated electronically and is valid without a physical signature pursuant to § 14 Abs. 4 UStG.</w:t>
      </w:r>
    </w:p>
    <w:p>
      <w:pPr>
        <w:pStyle w:val="BodyText"/>
      </w:pPr>
      <w:r>
        <w:t xml:space="preserve">For questions regarding this invoice, please contact: k.vogel@atmosphaeren-berlin.de | +49 (0)30 4421 8876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Meteorological Consulting Services - Berlin, Germany</dc:title>
  <dc:creator/>
  <dc:language>en</dc:language>
  <cp:keywords/>
  <dcterms:created xsi:type="dcterms:W3CDTF">2026-10-10T04:30:26Z</dcterms:created>
  <dcterms:modified xsi:type="dcterms:W3CDTF">2026-10-10T04:30:26Z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