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Iran</w:t>
      </w:r>
      <w:r>
        <w:t xml:space="preserve"> </w:t>
      </w:r>
      <w:r>
        <w:t xml:space="preserve">Tehran</w:t>
      </w:r>
    </w:p>
    <w:p>
      <w:pPr>
        <w:pStyle w:val="FirstParagraph"/>
      </w:pPr>
      <w:r>
        <w:t xml:space="preserve">INVOICE</w:t>
      </w:r>
    </w:p>
    <w:p>
      <w:pPr>
        <w:pStyle w:val="BodyText"/>
      </w:pPr>
      <w:r>
        <w:t xml:space="preserve">Invoice No: MTX-2025-TEH-04872</w:t>
      </w:r>
    </w:p>
    <w:p>
      <w:pPr>
        <w:pStyle w:val="BodyText"/>
      </w:pPr>
      <w:r>
        <w:t xml:space="preserve">Date of Issue: 15 June 2025</w:t>
      </w:r>
    </w:p>
    <w:p>
      <w:pPr>
        <w:pStyle w:val="BodyText"/>
      </w:pPr>
      <w:r>
        <w:t xml:space="preserve">Due Date: 30 June 2025</w:t>
      </w:r>
    </w:p>
    <w:p>
      <w:pPr>
        <w:pStyle w:val="BodyText"/>
      </w:pPr>
      <w:r>
        <w:t xml:space="preserve">PENDING PAYMENT</w:t>
      </w:r>
    </w:p>
    <w:bookmarkStart w:id="20" w:name="service-provider-meteorologist"/>
    <w:p>
      <w:pPr>
        <w:pStyle w:val="Heading3"/>
      </w:pPr>
      <w:r>
        <w:t xml:space="preserve">Service Provider (Meteorologist)</w:t>
      </w:r>
    </w:p>
    <w:p>
      <w:pPr>
        <w:pStyle w:val="FirstParagraph"/>
      </w:pPr>
      <w:r>
        <w:rPr>
          <w:bCs/>
          <w:b/>
        </w:rPr>
        <w:t xml:space="preserve">Dr. Arash Farhadi, Ph.D.</w:t>
      </w:r>
      <w:r>
        <w:br/>
      </w:r>
      <w:r>
        <w:t xml:space="preserve">Senior Meteorologist &amp; Atmospheric Scientist</w:t>
      </w:r>
      <w:r>
        <w:br/>
      </w:r>
      <w:r>
        <w:t xml:space="preserve">Farhadi Meteorological Consulting Group</w:t>
      </w:r>
      <w:r>
        <w:br/>
      </w:r>
      <w:r>
        <w:t xml:space="preserve">42 Valiasr Street, 3rd Floor, Unit 7</w:t>
      </w:r>
      <w:r>
        <w:br/>
      </w:r>
      <w:r>
        <w:t xml:space="preserve">Tehran, Iran – Postal Code: 14186-35721</w:t>
      </w:r>
      <w:r>
        <w:br/>
      </w:r>
      <w:r>
        <w:t xml:space="preserve">Tel: +98-21-8876-5432</w:t>
      </w:r>
      <w:r>
        <w:br/>
      </w:r>
      <w:r>
        <w:t xml:space="preserve">Email: a.farhadi@farhadimeteo.ir</w:t>
      </w:r>
      <w:r>
        <w:br/>
      </w:r>
      <w:r>
        <w:t xml:space="preserve">National ID (Shenase Melli): 0045821937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Reference</w:t>
            </w:r>
          </w:p>
        </w:tc>
        <w:tc>
          <w:tcPr/>
          <w:p>
            <w:pPr>
              <w:pStyle w:val="Compact"/>
              <w:jc w:val="left"/>
            </w:pPr>
            <w:r>
              <w:t xml:space="preserve">MTX-2025-TEH-04872</w:t>
            </w:r>
          </w:p>
        </w:tc>
      </w:tr>
      <w:tr>
        <w:tc>
          <w:tcPr/>
          <w:p>
            <w:pPr>
              <w:pStyle w:val="Compact"/>
              <w:jc w:val="left"/>
            </w:pPr>
            <w:r>
              <w:t xml:space="preserve">Service Location</w:t>
            </w:r>
          </w:p>
        </w:tc>
        <w:tc>
          <w:tcPr/>
          <w:p>
            <w:pPr>
              <w:pStyle w:val="Compact"/>
              <w:jc w:val="left"/>
            </w:pPr>
            <w:r>
              <w:t xml:space="preserve">Tehran, Iran – All Districts (1–22)</w:t>
            </w:r>
          </w:p>
        </w:tc>
      </w:tr>
      <w:tr>
        <w:tc>
          <w:tcPr/>
          <w:p>
            <w:pPr>
              <w:pStyle w:val="Compact"/>
              <w:jc w:val="left"/>
            </w:pPr>
            <w:r>
              <w:t xml:space="preserve">Contract Period</w:t>
            </w:r>
          </w:p>
        </w:tc>
        <w:tc>
          <w:tcPr/>
          <w:p>
            <w:pPr>
              <w:pStyle w:val="Compact"/>
              <w:jc w:val="left"/>
            </w:pPr>
            <w:r>
              <w:t xml:space="preserve">1 June 2025 – 31 August 2025</w:t>
            </w:r>
          </w:p>
        </w:tc>
      </w:tr>
      <w:tr>
        <w:tc>
          <w:tcPr/>
          <w:p>
            <w:pPr>
              <w:pStyle w:val="Compact"/>
              <w:jc w:val="left"/>
            </w:pPr>
            <w:r>
              <w:t xml:space="preserve">Currency</w:t>
            </w:r>
          </w:p>
        </w:tc>
        <w:tc>
          <w:tcPr/>
          <w:p>
            <w:pPr>
              <w:pStyle w:val="Compact"/>
              <w:jc w:val="left"/>
            </w:pPr>
            <w:r>
              <w:t xml:space="preserve">Iranian Rial (IRR) / USD equivalent</w:t>
            </w:r>
          </w:p>
        </w:tc>
      </w:tr>
      <w:tr>
        <w:tc>
          <w:tcPr/>
          <w:p>
            <w:pPr>
              <w:pStyle w:val="Compact"/>
              <w:jc w:val="left"/>
            </w:pPr>
            <w:r>
              <w:t xml:space="preserve">Tax Registration No.</w:t>
            </w:r>
          </w:p>
        </w:tc>
        <w:tc>
          <w:tcPr/>
          <w:p>
            <w:pPr>
              <w:pStyle w:val="Compact"/>
              <w:jc w:val="left"/>
            </w:pPr>
            <w:r>
              <w:t xml:space="preserve">1020458763 (Iran National Tax Organization)</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Bill To (Client)</w:t>
            </w:r>
          </w:p>
        </w:tc>
        <w:tc>
          <w:tcPr/>
          <w:p>
            <w:pPr>
              <w:pStyle w:val="Compact"/>
              <w:jc w:val="left"/>
            </w:pPr>
            <w:r>
              <w:t xml:space="preserve">Tehran Metropolitan Water &amp; Sewerage Company (TMWSC)</w:t>
            </w:r>
          </w:p>
        </w:tc>
      </w:tr>
      <w:tr>
        <w:tc>
          <w:tcPr/>
          <w:p>
            <w:pPr>
              <w:pStyle w:val="Compact"/>
              <w:jc w:val="left"/>
            </w:pPr>
            <w:r>
              <w:t xml:space="preserve">Client Address</w:t>
            </w:r>
          </w:p>
        </w:tc>
        <w:tc>
          <w:tcPr/>
          <w:p>
            <w:pPr>
              <w:pStyle w:val="Compact"/>
              <w:jc w:val="left"/>
            </w:pPr>
            <w:r>
              <w:t xml:space="preserve">18 Enghelab Avenue, Vanak Square, Tehran, Iran – 19857-44210</w:t>
            </w:r>
          </w:p>
        </w:tc>
      </w:tr>
      <w:tr>
        <w:tc>
          <w:tcPr/>
          <w:p>
            <w:pPr>
              <w:pStyle w:val="Compact"/>
              <w:jc w:val="left"/>
            </w:pPr>
            <w:r>
              <w:t xml:space="preserve">Client Contact</w:t>
            </w:r>
          </w:p>
        </w:tc>
        <w:tc>
          <w:tcPr/>
          <w:p>
            <w:pPr>
              <w:pStyle w:val="Compact"/>
              <w:jc w:val="left"/>
            </w:pPr>
            <w:r>
              <w:t xml:space="preserve">Mr. Reza Mohammadi, Procurement Director</w:t>
            </w:r>
          </w:p>
        </w:tc>
      </w:tr>
      <w:tr>
        <w:tc>
          <w:tcPr/>
          <w:p>
            <w:pPr>
              <w:pStyle w:val="Compact"/>
              <w:jc w:val="left"/>
            </w:pPr>
            <w:r>
              <w:t xml:space="preserve">Client Tax ID</w:t>
            </w:r>
          </w:p>
        </w:tc>
        <w:tc>
          <w:tcPr/>
          <w:p>
            <w:pPr>
              <w:pStyle w:val="Compact"/>
              <w:jc w:val="left"/>
            </w:pPr>
            <w:r>
              <w:t xml:space="preserve">1010987654</w:t>
            </w:r>
          </w:p>
        </w:tc>
      </w:tr>
    </w:tbl>
    <w:bookmarkStart w:id="23" w:name="X15bc893358a9f9b3bd2f10789dbaa7b627f2ef5"/>
    <w:p>
      <w:pPr>
        <w:pStyle w:val="Heading2"/>
      </w:pPr>
      <w:r>
        <w:t xml:space="preserve">Meteorologist Services Rendered – Iran Tehran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Meteorologist Service</w:t>
            </w:r>
          </w:p>
        </w:tc>
        <w:tc>
          <w:tcPr/>
          <w:p>
            <w:pPr>
              <w:pStyle w:val="Compact"/>
              <w:jc w:val="left"/>
            </w:pPr>
            <w:r>
              <w:t xml:space="preserve">Period / Qty</w:t>
            </w:r>
          </w:p>
        </w:tc>
        <w:tc>
          <w:tcPr/>
          <w:p>
            <w:pPr>
              <w:pStyle w:val="Compact"/>
              <w:jc w:val="left"/>
            </w:pPr>
            <w:r>
              <w:t xml:space="preserve">Unit Rate (IRR)</w:t>
            </w:r>
          </w:p>
        </w:tc>
        <w:tc>
          <w:tcPr/>
          <w:p>
            <w:pPr>
              <w:pStyle w:val="Compact"/>
              <w:jc w:val="left"/>
            </w:pPr>
            <w:r>
              <w:t xml:space="preserve">Amount (IRR)</w:t>
            </w:r>
          </w:p>
        </w:tc>
      </w:tr>
      <w:tr>
        <w:tc>
          <w:tcPr/>
          <w:p>
            <w:pPr>
              <w:pStyle w:val="Compact"/>
              <w:jc w:val="left"/>
            </w:pPr>
            <w:r>
              <w:t xml:space="preserve">1</w:t>
            </w:r>
          </w:p>
        </w:tc>
        <w:tc>
          <w:tcPr/>
          <w:p>
            <w:pPr>
              <w:pStyle w:val="Compact"/>
              <w:jc w:val="left"/>
            </w:pPr>
            <w:r>
              <w:t xml:space="preserve">Daily meteorological forecasting and severe weather alerts for Tehran metropolitan area, including precipitation probability, wind speed, and temperature anomaly reports delivered to TMWSC operations center.</w:t>
            </w:r>
          </w:p>
        </w:tc>
        <w:tc>
          <w:tcPr/>
          <w:p>
            <w:pPr>
              <w:pStyle w:val="Compact"/>
              <w:jc w:val="left"/>
            </w:pPr>
            <w:r>
              <w:t xml:space="preserve">92 days</w:t>
            </w:r>
          </w:p>
        </w:tc>
        <w:tc>
          <w:tcPr/>
          <w:p>
            <w:pPr>
              <w:pStyle w:val="Compact"/>
              <w:jc w:val="left"/>
            </w:pPr>
            <w:r>
              <w:t xml:space="preserve">850,000</w:t>
            </w:r>
          </w:p>
        </w:tc>
        <w:tc>
          <w:tcPr/>
          <w:p>
            <w:pPr>
              <w:pStyle w:val="Compact"/>
              <w:jc w:val="left"/>
            </w:pPr>
            <w:r>
              <w:t xml:space="preserve">78,200,000</w:t>
            </w:r>
          </w:p>
        </w:tc>
      </w:tr>
      <w:tr>
        <w:tc>
          <w:tcPr/>
          <w:p>
            <w:pPr>
              <w:pStyle w:val="Compact"/>
              <w:jc w:val="left"/>
            </w:pPr>
            <w:r>
              <w:t xml:space="preserve">2</w:t>
            </w:r>
          </w:p>
        </w:tc>
        <w:tc>
          <w:tcPr/>
          <w:p>
            <w:pPr>
              <w:pStyle w:val="Compact"/>
              <w:jc w:val="left"/>
            </w:pPr>
            <w:r>
              <w:t xml:space="preserve">Monthly atmospheric data analysis and climate trend assessment for the Iran Tehran basin, covering humidity indices, pressure systems, and seasonal transition modeling for water resource planning.</w:t>
            </w:r>
          </w:p>
        </w:tc>
        <w:tc>
          <w:tcPr/>
          <w:p>
            <w:pPr>
              <w:pStyle w:val="Compact"/>
              <w:jc w:val="left"/>
            </w:pPr>
            <w:r>
              <w:t xml:space="preserve">3 months</w:t>
            </w:r>
          </w:p>
        </w:tc>
        <w:tc>
          <w:tcPr/>
          <w:p>
            <w:pPr>
              <w:pStyle w:val="Compact"/>
              <w:jc w:val="left"/>
            </w:pPr>
            <w:r>
              <w:t xml:space="preserve">12,500,000</w:t>
            </w:r>
          </w:p>
        </w:tc>
        <w:tc>
          <w:tcPr/>
          <w:p>
            <w:pPr>
              <w:pStyle w:val="Compact"/>
              <w:jc w:val="left"/>
            </w:pPr>
            <w:r>
              <w:t xml:space="preserve">37,500,000</w:t>
            </w:r>
          </w:p>
        </w:tc>
      </w:tr>
      <w:tr>
        <w:tc>
          <w:tcPr/>
          <w:p>
            <w:pPr>
              <w:pStyle w:val="Compact"/>
              <w:jc w:val="left"/>
            </w:pPr>
            <w:r>
              <w:t xml:space="preserve">3</w:t>
            </w:r>
          </w:p>
        </w:tc>
        <w:tc>
          <w:tcPr/>
          <w:p>
            <w:pPr>
              <w:pStyle w:val="Compact"/>
              <w:jc w:val="left"/>
            </w:pPr>
            <w:r>
              <w:t xml:space="preserve">On-site meteorological station calibration and sensor maintenance at 6 monitoring points across Tehran (North, South, East, West, Central, and Alborz foothill stations).</w:t>
            </w:r>
          </w:p>
        </w:tc>
        <w:tc>
          <w:tcPr/>
          <w:p>
            <w:pPr>
              <w:pStyle w:val="Compact"/>
              <w:jc w:val="left"/>
            </w:pPr>
            <w:r>
              <w:t xml:space="preserve">6 stations</w:t>
            </w:r>
          </w:p>
        </w:tc>
        <w:tc>
          <w:tcPr/>
          <w:p>
            <w:pPr>
              <w:pStyle w:val="Compact"/>
              <w:jc w:val="left"/>
            </w:pPr>
            <w:r>
              <w:t xml:space="preserve">4,200,000</w:t>
            </w:r>
          </w:p>
        </w:tc>
        <w:tc>
          <w:tcPr/>
          <w:p>
            <w:pPr>
              <w:pStyle w:val="Compact"/>
              <w:jc w:val="left"/>
            </w:pPr>
            <w:r>
              <w:t xml:space="preserve">25,200,000</w:t>
            </w:r>
          </w:p>
        </w:tc>
      </w:tr>
      <w:tr>
        <w:tc>
          <w:tcPr/>
          <w:p>
            <w:pPr>
              <w:pStyle w:val="Compact"/>
              <w:jc w:val="left"/>
            </w:pPr>
            <w:r>
              <w:t xml:space="preserve">4</w:t>
            </w:r>
          </w:p>
        </w:tc>
        <w:tc>
          <w:tcPr/>
          <w:p>
            <w:pPr>
              <w:pStyle w:val="Compact"/>
              <w:jc w:val="left"/>
            </w:pPr>
            <w:r>
              <w:t xml:space="preserve">Emergency meteorologist consultation during the April 2025 dust storm event affecting Iran Tehran, including real-time advisory, evacuation timing recommendations, and post-event atmospheric impact report.</w:t>
            </w:r>
          </w:p>
        </w:tc>
        <w:tc>
          <w:tcPr/>
          <w:p>
            <w:pPr>
              <w:pStyle w:val="Compact"/>
              <w:jc w:val="left"/>
            </w:pPr>
            <w:r>
              <w:t xml:space="preserve">1 event</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5</w:t>
            </w:r>
          </w:p>
        </w:tc>
        <w:tc>
          <w:tcPr/>
          <w:p>
            <w:pPr>
              <w:pStyle w:val="Compact"/>
              <w:jc w:val="left"/>
            </w:pPr>
            <w:r>
              <w:t xml:space="preserve">Preparation of a comprehensive 12-month seasonal outlook report for Tehran, Iran, incorporating satellite imagery, reanalysis datasets, and local microclimate observations for municipal infrastructure planning.</w:t>
            </w:r>
          </w:p>
        </w:tc>
        <w:tc>
          <w:tcPr/>
          <w:p>
            <w:pPr>
              <w:pStyle w:val="Compact"/>
              <w:jc w:val="left"/>
            </w:pPr>
            <w:r>
              <w:t xml:space="preserve">1 report</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6</w:t>
            </w:r>
          </w:p>
        </w:tc>
        <w:tc>
          <w:tcPr/>
          <w:p>
            <w:pPr>
              <w:pStyle w:val="Compact"/>
              <w:jc w:val="left"/>
            </w:pPr>
            <w:r>
              <w:t xml:space="preserve">Training workshop for TMWSC field staff on interpreting meteorologist-issued weather bulletins and integrating forecast data into daily water distribution scheduling.</w:t>
            </w:r>
          </w:p>
        </w:tc>
        <w:tc>
          <w:tcPr/>
          <w:p>
            <w:pPr>
              <w:pStyle w:val="Compact"/>
              <w:jc w:val="left"/>
            </w:pPr>
            <w:r>
              <w:t xml:space="preserve">2 sessions</w:t>
            </w:r>
          </w:p>
        </w:tc>
        <w:tc>
          <w:tcPr/>
          <w:p>
            <w:pPr>
              <w:pStyle w:val="Compact"/>
              <w:jc w:val="left"/>
            </w:pPr>
            <w:r>
              <w:t xml:space="preserve">3,500,000</w:t>
            </w:r>
          </w:p>
        </w:tc>
        <w:tc>
          <w:tcPr/>
          <w:p>
            <w:pPr>
              <w:pStyle w:val="Compact"/>
              <w:jc w:val="left"/>
            </w:pPr>
            <w:r>
              <w:t xml:space="preserve">7,000,000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187,900,000 IRR</w:t>
            </w:r>
          </w:p>
        </w:tc>
      </w:tr>
      <w:tr>
        <w:tc>
          <w:tcPr/>
          <w:p>
            <w:pPr>
              <w:pStyle w:val="Compact"/>
              <w:jc w:val="left"/>
            </w:pPr>
            <w:r>
              <w:t xml:space="preserve">VAT (9% – Iran National Tax)</w:t>
            </w:r>
          </w:p>
        </w:tc>
        <w:tc>
          <w:tcPr/>
          <w:p>
            <w:pPr>
              <w:pStyle w:val="Compact"/>
              <w:jc w:val="right"/>
            </w:pPr>
            <w:r>
              <w:t xml:space="preserve">16,911,000 IRR</w:t>
            </w:r>
          </w:p>
        </w:tc>
      </w:tr>
      <w:tr>
        <w:tc>
          <w:tcPr/>
          <w:p>
            <w:pPr>
              <w:pStyle w:val="Compact"/>
              <w:jc w:val="left"/>
            </w:pPr>
            <w:r>
              <w:t xml:space="preserve">Service Surcharge (Tehran urban zone)</w:t>
            </w:r>
          </w:p>
        </w:tc>
        <w:tc>
          <w:tcPr/>
          <w:p>
            <w:pPr>
              <w:pStyle w:val="Compact"/>
              <w:jc w:val="right"/>
            </w:pPr>
            <w:r>
              <w:t xml:space="preserve">5,637,000 IRR</w:t>
            </w:r>
          </w:p>
        </w:tc>
      </w:tr>
      <w:tr>
        <w:tc>
          <w:tcPr/>
          <w:p>
            <w:pPr>
              <w:pStyle w:val="Compact"/>
              <w:jc w:val="left"/>
            </w:pPr>
            <w:r>
              <w:t xml:space="preserve">Grand Total Due</w:t>
            </w:r>
          </w:p>
        </w:tc>
        <w:tc>
          <w:tcPr/>
          <w:p>
            <w:pPr>
              <w:pStyle w:val="Compact"/>
              <w:jc w:val="right"/>
            </w:pPr>
            <w:r>
              <w:t xml:space="preserve">210,448,000 IRR</w:t>
            </w:r>
          </w:p>
        </w:tc>
      </w:tr>
      <w:tr>
        <w:tc>
          <w:tcPr/>
          <w:p>
            <w:pPr>
              <w:pStyle w:val="Compact"/>
              <w:jc w:val="left"/>
            </w:pPr>
            <w:r>
              <w:t xml:space="preserve">USD Equivalent (approx.)</w:t>
            </w:r>
          </w:p>
        </w:tc>
        <w:tc>
          <w:tcPr/>
          <w:p>
            <w:pPr>
              <w:pStyle w:val="Compact"/>
              <w:jc w:val="right"/>
            </w:pPr>
            <w:r>
              <w:t xml:space="preserve">$512.40</w:t>
            </w:r>
          </w:p>
        </w:tc>
      </w:tr>
    </w:tbl>
    <w:bookmarkStart w:id="21" w:name="payment-instructions-invoice-settlement"/>
    <w:p>
      <w:pPr>
        <w:pStyle w:val="Heading3"/>
      </w:pPr>
      <w:r>
        <w:t xml:space="preserve">Payment Instructions – Invoice Settlement</w:t>
      </w:r>
    </w:p>
    <w:p>
      <w:pPr>
        <w:pStyle w:val="FirstParagraph"/>
      </w:pPr>
      <w:r>
        <w:t xml:space="preserve">This Invoice must be settled within 15 calendar days of the issue date. Payment shall be made via bank transfer to the Meteorologist's designated account registered under Farhadi Meteorological Consulting Group, Tehran, Iran.</w:t>
      </w:r>
    </w:p>
    <w:p>
      <w:pPr>
        <w:pStyle w:val="BodyText"/>
      </w:pPr>
      <w:r>
        <w:rPr>
          <w:bCs/>
          <w:b/>
        </w:rPr>
        <w:t xml:space="preserve">Bank:</w:t>
      </w:r>
      <w:r>
        <w:t xml:space="preserve"> </w:t>
      </w:r>
      <w:r>
        <w:t xml:space="preserve">Bank Melli Iran, Tehran Central Branch</w:t>
      </w:r>
      <w:r>
        <w:br/>
      </w:r>
      <w:r>
        <w:rPr>
          <w:bCs/>
          <w:b/>
        </w:rPr>
        <w:t xml:space="preserve">Account Name:</w:t>
      </w:r>
      <w:r>
        <w:t xml:space="preserve"> </w:t>
      </w:r>
      <w:r>
        <w:t xml:space="preserve">Dr. Arash Farhadi</w:t>
      </w:r>
      <w:r>
        <w:br/>
      </w:r>
      <w:r>
        <w:rPr>
          <w:bCs/>
          <w:b/>
        </w:rPr>
        <w:t xml:space="preserve">IBAN:</w:t>
      </w:r>
      <w:r>
        <w:t xml:space="preserve"> </w:t>
      </w:r>
      <w:r>
        <w:t xml:space="preserve">IR60 MELL 0000 0045 8219 3700 1234 56</w:t>
      </w:r>
      <w:r>
        <w:br/>
      </w:r>
      <w:r>
        <w:rPr>
          <w:bCs/>
          <w:b/>
        </w:rPr>
        <w:t xml:space="preserve">SWIFT Code:</w:t>
      </w:r>
      <w:r>
        <w:t xml:space="preserve"> </w:t>
      </w:r>
      <w:r>
        <w:t xml:space="preserve">MELLIRTT</w:t>
      </w:r>
      <w:r>
        <w:br/>
      </w:r>
      <w:r>
        <w:rPr>
          <w:bCs/>
          <w:b/>
        </w:rPr>
        <w:t xml:space="preserve">Reference:</w:t>
      </w:r>
      <w:r>
        <w:t xml:space="preserve"> </w:t>
      </w:r>
      <w:r>
        <w:t xml:space="preserve">MTX-2025-TEH-04872</w:t>
      </w:r>
    </w:p>
    <w:p>
      <w:pPr>
        <w:pStyle w:val="BodyText"/>
      </w:pPr>
      <w:r>
        <w:t xml:space="preserve">Late payments are subject to a 2% monthly penalty as per Iranian commercial law. Please retain this Invoice document for your accounting records and submit a copy of the transfer receipt to the Meteorologist's office upon completion of payment.</w:t>
      </w:r>
    </w:p>
    <w:bookmarkEnd w:id="21"/>
    <w:bookmarkStart w:id="22" w:name="X25df181c450a4506de1cd3cd537d9164f2ae2c4"/>
    <w:p>
      <w:pPr>
        <w:pStyle w:val="Heading3"/>
      </w:pPr>
      <w:r>
        <w:t xml:space="preserve">Terms &amp; Conditions – Meteorologist Service Agreement (Iran Tehran)</w:t>
      </w:r>
    </w:p>
    <w:p>
      <w:pPr>
        <w:numPr>
          <w:ilvl w:val="0"/>
          <w:numId w:val="1001"/>
        </w:numPr>
        <w:pStyle w:val="Compact"/>
      </w:pPr>
      <w:r>
        <w:t xml:space="preserve">This Invoice constitutes the final billing statement for all meteorological services rendered by the undersigned Meteorologist to the client for the contract period specified above, covering the Iran Tehran metropolitan region and its surrounding Alborz foothill zones.</w:t>
      </w:r>
    </w:p>
    <w:p>
      <w:pPr>
        <w:numPr>
          <w:ilvl w:val="0"/>
          <w:numId w:val="1001"/>
        </w:numPr>
        <w:pStyle w:val="Compact"/>
      </w:pPr>
      <w:r>
        <w:t xml:space="preserve">All forecasts, analyses, and reports issued by the Meteorologist are advisory in nature and do not constitute guarantees of specific weather outcomes. The Meteorologist shall not be held liable for operational decisions made by the client based on forecast data.</w:t>
      </w:r>
    </w:p>
    <w:p>
      <w:pPr>
        <w:numPr>
          <w:ilvl w:val="0"/>
          <w:numId w:val="1001"/>
        </w:numPr>
        <w:pStyle w:val="Compact"/>
      </w:pPr>
      <w:r>
        <w:t xml:space="preserve">Confidentiality: All atmospheric data, proprietary models, and client-specific reports shared during the engagement remain the intellectual property of the Meteorologist unless otherwise stated in a separate written agreement.</w:t>
      </w:r>
    </w:p>
    <w:p>
      <w:pPr>
        <w:numPr>
          <w:ilvl w:val="0"/>
          <w:numId w:val="1001"/>
        </w:numPr>
        <w:pStyle w:val="Compact"/>
      </w:pPr>
      <w:r>
        <w:t xml:space="preserve">Dispute resolution: Any disputes arising from this Invoice or the underlying service contract shall be resolved through arbitration under the rules of the Tehran International Arbitration Center (TIAC), Iran Tehran.</w:t>
      </w:r>
    </w:p>
    <w:p>
      <w:pPr>
        <w:numPr>
          <w:ilvl w:val="0"/>
          <w:numId w:val="1001"/>
        </w:numPr>
        <w:pStyle w:val="Compact"/>
      </w:pPr>
      <w:r>
        <w:t xml:space="preserve">This Invoice is valid for 90 days from the date of issue. After this period, the Meteorologist reserves the right to reissue the Invoice with updated exchange-rate adjustments if payment has not been received.</w:t>
      </w:r>
    </w:p>
    <w:p>
      <w:pPr>
        <w:numPr>
          <w:ilvl w:val="0"/>
          <w:numId w:val="1001"/>
        </w:numPr>
        <w:pStyle w:val="Compact"/>
      </w:pPr>
      <w:r>
        <w:t xml:space="preserve">The Meteorologist is licensed and registered with the Iranian Meteorological Organization (IRIMO) and holds a valid professional practice certificate for the Tehran province.</w:t>
      </w:r>
    </w:p>
    <w:bookmarkEnd w:id="22"/>
    <w:p>
      <w:pPr>
        <w:pStyle w:val="FirstParagraph"/>
      </w:pPr>
      <w:r>
        <w:rPr>
          <w:bCs/>
          <w:b/>
        </w:rPr>
        <w:t xml:space="preserve">Farhadi Meteorological Consulting Group</w:t>
      </w:r>
      <w:r>
        <w:t xml:space="preserve"> </w:t>
      </w:r>
      <w:r>
        <w:t xml:space="preserve">– Licensed Meteorologist Practice, Tehran, Iran</w:t>
      </w:r>
      <w:r>
        <w:br/>
      </w:r>
      <w:r>
        <w:t xml:space="preserve">This Invoice was generated electronically and is valid without a physical signature per Iranian Electronic Commerce Law (2002).</w:t>
      </w:r>
      <w:r>
        <w:br/>
      </w:r>
      <w:r>
        <w:t xml:space="preserve">For inquiries regarding this Invoice, contact the Meteorologist's office at +98-21-8876-5432 or a.farhadi@farhadimeteo.ir.</w:t>
      </w:r>
      <w:r>
        <w:br/>
      </w:r>
      <w:r>
        <w:t xml:space="preserve">© 2025 Farhadi Meteorological Consulting Group. All rights reserved. Tehran, Iran.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Iran Tehran</dc:title>
  <dc:creator/>
  <dc:language>en</dc:language>
  <cp:keywords/>
  <dcterms:created xsi:type="dcterms:W3CDTF">2026-10-10T05:45:10Z</dcterms:created>
  <dcterms:modified xsi:type="dcterms:W3CDTF">2026-10-10T05:45:10Z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