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Strategic</w:t>
      </w:r>
      <w:r>
        <w:t xml:space="preserve"> </w:t>
      </w:r>
      <w:r>
        <w:t xml:space="preserve">Consulting</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Military Officer Strategic &amp; Operational Consulting Services</w:t>
      </w:r>
    </w:p>
    <w:p>
      <w:pPr>
        <w:pStyle w:val="BodyText"/>
      </w:pPr>
      <w:r>
        <w:t xml:space="preserve">Canada Toronto</w:t>
      </w:r>
    </w:p>
    <w:bookmarkStart w:id="20" w:name="invoice-number"/>
    <w:p>
      <w:pPr>
        <w:pStyle w:val="Heading3"/>
      </w:pPr>
      <w:r>
        <w:t xml:space="preserve">Invoice Number:</w:t>
      </w:r>
    </w:p>
    <w:p>
      <w:pPr>
        <w:pStyle w:val="FirstParagraph"/>
      </w:pPr>
      <w:r>
        <w:t xml:space="preserve">INV-2025-CNT-0047</w:t>
      </w:r>
    </w:p>
    <w:bookmarkEnd w:id="20"/>
    <w:bookmarkStart w:id="21" w:name="issue-date"/>
    <w:p>
      <w:pPr>
        <w:pStyle w:val="Heading3"/>
      </w:pPr>
      <w:r>
        <w:t xml:space="preserve">Issue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bookmarkEnd w:id="23"/>
    <w:bookmarkStart w:id="24" w:name="prepared-by-service-provider"/>
    <w:p>
      <w:pPr>
        <w:pStyle w:val="Heading4"/>
      </w:pPr>
      <w:r>
        <w:t xml:space="preserve">Prepared By (Service Provider)</w:t>
      </w:r>
    </w:p>
    <w:p>
      <w:pPr>
        <w:pStyle w:val="FirstParagraph"/>
      </w:pPr>
      <w:r>
        <w:rPr>
          <w:bCs/>
          <w:b/>
        </w:rPr>
        <w:t xml:space="preserve">Col. (Ret.) David R. MacKenzie</w:t>
      </w:r>
    </w:p>
    <w:p>
      <w:pPr>
        <w:pStyle w:val="BodyText"/>
      </w:pPr>
      <w:r>
        <w:t xml:space="preserve">Military Officer – Strategic Advisory Consultant</w:t>
      </w:r>
    </w:p>
    <w:p>
      <w:pPr>
        <w:pStyle w:val="BodyText"/>
      </w:pPr>
      <w:r>
        <w:t xml:space="preserve">MacKenzie Defence &amp; Security Consulting Inc.</w:t>
      </w:r>
    </w:p>
    <w:p>
      <w:pPr>
        <w:pStyle w:val="BodyText"/>
      </w:pPr>
      <w:r>
        <w:t xml:space="preserve">2200 Yonge Street, Suite 1450</w:t>
      </w:r>
    </w:p>
    <w:p>
      <w:pPr>
        <w:pStyle w:val="BodyText"/>
      </w:pPr>
      <w:r>
        <w:t xml:space="preserve">Toronto, Ontario, Canada Toronto M4P 1E4</w:t>
      </w:r>
    </w:p>
    <w:p>
      <w:pPr>
        <w:pStyle w:val="BodyText"/>
      </w:pPr>
      <w:r>
        <w:t xml:space="preserve">Phone: +1 (416) 555-0192</w:t>
      </w:r>
    </w:p>
    <w:p>
      <w:pPr>
        <w:pStyle w:val="BodyText"/>
      </w:pPr>
      <w:r>
        <w:t xml:space="preserve">Email: d.mackenzie@mdsc-consulting.ca</w:t>
      </w:r>
    </w:p>
    <w:p>
      <w:pPr>
        <w:pStyle w:val="BodyText"/>
      </w:pPr>
      <w:r>
        <w:t xml:space="preserve">HST Registration: 123456789RT0001</w:t>
      </w:r>
    </w:p>
    <w:bookmarkEnd w:id="24"/>
    <w:bookmarkStart w:id="25" w:name="billed-to-client"/>
    <w:p>
      <w:pPr>
        <w:pStyle w:val="Heading4"/>
      </w:pPr>
      <w:r>
        <w:t xml:space="preserve">Billed To (Client)</w:t>
      </w:r>
    </w:p>
    <w:p>
      <w:pPr>
        <w:pStyle w:val="FirstParagraph"/>
      </w:pPr>
      <w:r>
        <w:rPr>
          <w:bCs/>
          <w:b/>
        </w:rPr>
        <w:t xml:space="preserve">Northgate Municipal Infrastructure Corp.</w:t>
      </w:r>
    </w:p>
    <w:p>
      <w:pPr>
        <w:pStyle w:val="BodyText"/>
      </w:pPr>
      <w:r>
        <w:t xml:space="preserve">Attn: Ms. Sarah Chen, Director of Procurement</w:t>
      </w:r>
    </w:p>
    <w:p>
      <w:pPr>
        <w:pStyle w:val="BodyText"/>
      </w:pPr>
      <w:r>
        <w:t xml:space="preserve">88 Bay Street, Floor 22</w:t>
      </w:r>
    </w:p>
    <w:p>
      <w:pPr>
        <w:pStyle w:val="BodyText"/>
      </w:pPr>
      <w:r>
        <w:t xml:space="preserve">Toronto, Ontario, Canada Toronto M5J 2T8</w:t>
      </w:r>
    </w:p>
    <w:p>
      <w:pPr>
        <w:pStyle w:val="BodyText"/>
      </w:pPr>
      <w:r>
        <w:t xml:space="preserve">Phone: +1 (416) 555-0347</w:t>
      </w:r>
    </w:p>
    <w:p>
      <w:pPr>
        <w:pStyle w:val="BodyText"/>
      </w:pPr>
      <w:r>
        <w:t xml:space="preserve">Email: s.chen@northgateinfra.ca</w:t>
      </w:r>
    </w:p>
    <w:p>
      <w:pPr>
        <w:pStyle w:val="BodyText"/>
      </w:pPr>
      <w:r>
        <w:t xml:space="preserve">Client Reference: NGI-2025-PROJ-118</w:t>
      </w:r>
    </w:p>
    <w:bookmarkEnd w:id="25"/>
    <w:bookmarkStart w:id="27" w:name="X8179d9ce2f93f8560025b1ded2f4521bbad510e"/>
    <w:p>
      <w:pPr>
        <w:pStyle w:val="Heading3"/>
      </w:pPr>
      <w:r>
        <w:t xml:space="preserve">Description of Services Rendered by Military Officer in Canada Toronto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Strategic Threat Assessment &amp; Risk Mitigation Planning – Military Officer conducted a comprehensive operational security review of the client's critical infrastructure sites across the Greater Toronto Area. This engagement involved on-site inspections, vulnerability mapping, and the development of a tiered response protocol aligned with Canadian national defence standards.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Command &amp; Control Framework Design – The Military Officer designed and delivered a bespoke command and control communication architecture for the client's emergency operations centre located in downtown Canada Toronto. Deliverables included system diagrams, standard operating procedures, and a 120-page operational manual.</w:t>
            </w:r>
          </w:p>
        </w:tc>
        <w:tc>
          <w:tcPr/>
          <w:p>
            <w:pPr>
              <w:pStyle w:val="Compact"/>
              <w:jc w:val="left"/>
            </w:pPr>
            <w:r>
              <w:t xml:space="preserve">May 12 – May 23, 2025</w:t>
            </w:r>
          </w:p>
        </w:tc>
        <w:tc>
          <w:tcPr/>
          <w:p>
            <w:pPr>
              <w:pStyle w:val="Compact"/>
              <w:jc w:val="left"/>
            </w:pPr>
            <w:r>
              <w:t xml:space="preserve">64</w:t>
            </w:r>
          </w:p>
        </w:tc>
        <w:tc>
          <w:tcPr/>
          <w:p>
            <w:pPr>
              <w:pStyle w:val="Compact"/>
              <w:jc w:val="left"/>
            </w:pPr>
            <w:r>
              <w:t xml:space="preserve">$285.00</w:t>
            </w:r>
          </w:p>
        </w:tc>
        <w:tc>
          <w:tcPr/>
          <w:p>
            <w:pPr>
              <w:pStyle w:val="Compact"/>
              <w:jc w:val="left"/>
            </w:pPr>
            <w:r>
              <w:t xml:space="preserve">$18,240.00</w:t>
            </w:r>
          </w:p>
        </w:tc>
      </w:tr>
      <w:tr>
        <w:tc>
          <w:tcPr/>
          <w:p>
            <w:pPr>
              <w:pStyle w:val="Compact"/>
              <w:jc w:val="left"/>
            </w:pPr>
            <w:r>
              <w:t xml:space="preserve">3</w:t>
            </w:r>
          </w:p>
        </w:tc>
        <w:tc>
          <w:tcPr/>
          <w:p>
            <w:pPr>
              <w:pStyle w:val="Compact"/>
              <w:jc w:val="left"/>
            </w:pPr>
            <w:r>
              <w:t xml:space="preserve">Leadership &amp; Crisis Management Training – A three-day intensive workshop delivered by the Military Officer to 45 senior executives and first-response personnel. The curriculum covered decision-making under pressure, chain-of-command protocols, inter-agency coordination, and post-incident debrief methodologies specific to the Canada Toronto metropolitan context.</w:t>
            </w:r>
          </w:p>
        </w:tc>
        <w:tc>
          <w:tcPr/>
          <w:p>
            <w:pPr>
              <w:pStyle w:val="Compact"/>
              <w:jc w:val="left"/>
            </w:pPr>
            <w:r>
              <w:t xml:space="preserve">May 26 – May 28, 2025</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Contingency Planning &amp; Tabletop Exercise Facilitation – The Military Officer facilitated a full-scale tabletop exercise simulating a multi-vector security incident affecting transit corridors in Canada Toronto. The exercise involved coordination with municipal emergency services, provincial liaison officers, and private security contractors. A detailed after-action report was submitted within five business days.</w:t>
            </w:r>
          </w:p>
        </w:tc>
        <w:tc>
          <w:tcPr/>
          <w:p>
            <w:pPr>
              <w:pStyle w:val="Compact"/>
              <w:jc w:val="left"/>
            </w:pPr>
            <w:r>
              <w:t xml:space="preserve">June 2 – June 4,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Final Report, Recommendations &amp; Strategic Roadmap – Compilation of all findings, a 90-day implementation roadmap, and a long-term strategic advisory plan. The Military Officer presented the final deliverables to the client's board of directors in a closed-session briefing at the client's headquarters in Canada Toronto.</w:t>
            </w:r>
          </w:p>
        </w:tc>
        <w:tc>
          <w:tcPr/>
          <w:p>
            <w:pPr>
              <w:pStyle w:val="Compact"/>
              <w:jc w:val="left"/>
            </w:pPr>
            <w:r>
              <w:t xml:space="preserve">June 6 – June 10, 2025</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$52,140.00</w:t>
            </w:r>
          </w:p>
        </w:tc>
      </w:tr>
      <w:tr>
        <w:tc>
          <w:tcPr/>
          <w:p>
            <w:pPr>
              <w:pStyle w:val="Compact"/>
              <w:jc w:val="left"/>
            </w:pPr>
            <w:r>
              <w:t xml:space="preserve">HST (13% – Ontario, Canada Toronto)</w:t>
            </w:r>
          </w:p>
        </w:tc>
        <w:tc>
          <w:tcPr/>
          <w:p>
            <w:pPr>
              <w:pStyle w:val="Compact"/>
              <w:jc w:val="left"/>
            </w:pPr>
            <w:r>
              <w:t xml:space="preserve">$6,778.20</w:t>
            </w:r>
          </w:p>
        </w:tc>
      </w:tr>
      <w:tr>
        <w:tc>
          <w:tcPr/>
          <w:p>
            <w:pPr>
              <w:pStyle w:val="Compact"/>
              <w:jc w:val="left"/>
            </w:pPr>
            <w:r>
              <w:t xml:space="preserve">Travel &amp; Accommodation Reimbursement</w:t>
            </w:r>
          </w:p>
        </w:tc>
        <w:tc>
          <w:tcPr/>
          <w:p>
            <w:pPr>
              <w:pStyle w:val="Compact"/>
              <w:jc w:val="left"/>
            </w:pPr>
            <w:r>
              <w:t xml:space="preserve">$1,245.60</w:t>
            </w:r>
          </w:p>
        </w:tc>
      </w:tr>
      <w:tr>
        <w:tc>
          <w:tcPr/>
          <w:p>
            <w:pPr>
              <w:pStyle w:val="Compact"/>
              <w:jc w:val="left"/>
            </w:pPr>
            <w:r>
              <w:t xml:space="preserve">HST on Reimbursement (13%)</w:t>
            </w:r>
          </w:p>
        </w:tc>
        <w:tc>
          <w:tcPr/>
          <w:p>
            <w:pPr>
              <w:pStyle w:val="Compact"/>
              <w:jc w:val="left"/>
            </w:pPr>
            <w:r>
              <w:t xml:space="preserve">$161.93</w:t>
            </w:r>
          </w:p>
        </w:tc>
      </w:tr>
      <w:tr>
        <w:tc>
          <w:tcPr/>
          <w:p>
            <w:pPr>
              <w:pStyle w:val="Compact"/>
              <w:jc w:val="left"/>
            </w:pPr>
            <w:r>
              <w:t xml:space="preserve">Grand Total Due (CAD)</w:t>
            </w:r>
          </w:p>
        </w:tc>
        <w:tc>
          <w:tcPr/>
          <w:p>
            <w:pPr>
              <w:pStyle w:val="Compact"/>
              <w:jc w:val="left"/>
            </w:pPr>
            <w:r>
              <w:t xml:space="preserve">$60,325.73</w:t>
            </w:r>
          </w:p>
        </w:tc>
      </w:tr>
    </w:tbl>
    <w:bookmarkStart w:id="26" w:name="Xec8fd65056630c959acc28e3add3b49a21db566"/>
    <w:p>
      <w:pPr>
        <w:pStyle w:val="Heading4"/>
      </w:pPr>
      <w:r>
        <w:t xml:space="preserve">Terms &amp; Conditions – Invoice INV-2025-CNT-0047</w:t>
      </w:r>
    </w:p>
    <w:p>
      <w:pPr>
        <w:pStyle w:val="FirstParagraph"/>
      </w:pPr>
      <w:r>
        <w:t xml:space="preserve">This Invoice is issued in accordance with the Master Service Agreement (MSA) dated March 1, 2025, between MacKenzie Defence &amp; Security Consulting Inc. and Northgate Municipal Infrastructure Corp. All services were performed by a qualified Military Officer holding a valid Canadian security clearance (Secret level) and are subject to the confidentiality provisions outlined in Section 14 of the MSA.</w:t>
      </w:r>
    </w:p>
    <w:p>
      <w:pPr>
        <w:numPr>
          <w:ilvl w:val="0"/>
          <w:numId w:val="1001"/>
        </w:numPr>
        <w:pStyle w:val="Compact"/>
      </w:pPr>
      <w:r>
        <w:rPr>
          <w:bCs/>
          <w:b/>
        </w:rPr>
        <w:t xml:space="preserve">Payment:</w:t>
      </w:r>
      <w:r>
        <w:t xml:space="preserve"> </w:t>
      </w:r>
      <w:r>
        <w:t xml:space="preserve">Full payment of this Invoice is due within thirty (30) calendar days of the issue date. Payments may be made via electronic funds transfer (EFT) to the account details below. Late payments shall accrue interest at the rate of 1.5% per month as permitted under the Ontario</w:t>
      </w:r>
      <w:r>
        <w:t xml:space="preserve"> </w:t>
      </w:r>
      <w:r>
        <w:rPr>
          <w:iCs/>
          <w:i/>
        </w:rPr>
        <w:t xml:space="preserve">Interest Act</w:t>
      </w:r>
      <w:r>
        <w:t xml:space="preserve">.</w:t>
      </w:r>
    </w:p>
    <w:p>
      <w:pPr>
        <w:numPr>
          <w:ilvl w:val="0"/>
          <w:numId w:val="1001"/>
        </w:numPr>
        <w:pStyle w:val="Compact"/>
      </w:pPr>
      <w:r>
        <w:rPr>
          <w:bCs/>
          <w:b/>
        </w:rPr>
        <w:t xml:space="preserve">Confidentiality:</w:t>
      </w:r>
      <w:r>
        <w:t xml:space="preserve"> </w:t>
      </w:r>
      <w:r>
        <w:t xml:space="preserve">All materials, reports, and strategic documents delivered under this engagement are classified as proprietary to the client. The Military Officer and all supporting personnel are bound by non-disclosure obligations for a period of five (5) years following the completion of services.</w:t>
      </w:r>
    </w:p>
    <w:p>
      <w:pPr>
        <w:numPr>
          <w:ilvl w:val="0"/>
          <w:numId w:val="1001"/>
        </w:numPr>
        <w:pStyle w:val="Compact"/>
      </w:pPr>
      <w:r>
        <w:rPr>
          <w:bCs/>
          <w:b/>
        </w:rPr>
        <w:t xml:space="preserve">Compliance:</w:t>
      </w:r>
      <w:r>
        <w:t xml:space="preserve"> </w:t>
      </w:r>
      <w:r>
        <w:t xml:space="preserve">All services were conducted in full compliance with the</w:t>
      </w:r>
      <w:r>
        <w:t xml:space="preserve"> </w:t>
      </w:r>
      <w:r>
        <w:rPr>
          <w:iCs/>
          <w:i/>
        </w:rPr>
        <w:t xml:space="preserve">Canadian Security Intelligence Service (CSIS)</w:t>
      </w:r>
      <w:r>
        <w:t xml:space="preserve"> </w:t>
      </w:r>
      <w:r>
        <w:t xml:space="preserve">guidelines, the</w:t>
      </w:r>
      <w:r>
        <w:t xml:space="preserve"> </w:t>
      </w:r>
      <w:r>
        <w:rPr>
          <w:iCs/>
          <w:i/>
        </w:rPr>
        <w:t xml:space="preserve">Ontario Municipal Act</w:t>
      </w:r>
      <w:r>
        <w:t xml:space="preserve">, and applicable federal and provincial regulations governing the provision of security consulting within Canada Toronto.</w:t>
      </w:r>
    </w:p>
    <w:p>
      <w:pPr>
        <w:numPr>
          <w:ilvl w:val="0"/>
          <w:numId w:val="1001"/>
        </w:numPr>
        <w:pStyle w:val="Compact"/>
      </w:pPr>
      <w:r>
        <w:rPr>
          <w:bCs/>
          <w:b/>
        </w:rPr>
        <w:t xml:space="preserve">Disputes:</w:t>
      </w:r>
      <w:r>
        <w:t xml:space="preserve"> </w:t>
      </w:r>
      <w:r>
        <w:t xml:space="preserve">Any disputes arising from this Invoice shall be resolved through mediation in the City of Toronto, Ontario, Canada, in accordance with the</w:t>
      </w:r>
      <w:r>
        <w:t xml:space="preserve"> </w:t>
      </w:r>
      <w:r>
        <w:rPr>
          <w:iCs/>
          <w:i/>
        </w:rPr>
        <w:t xml:space="preserve">Ontario Mediation Act, 2017</w:t>
      </w:r>
      <w:r>
        <w:t xml:space="preserve">. If mediation is unsuccessful, the matter shall be referred to the courts of competent jurisdiction in Canada Toronto.</w:t>
      </w:r>
    </w:p>
    <w:p>
      <w:pPr>
        <w:numPr>
          <w:ilvl w:val="0"/>
          <w:numId w:val="1001"/>
        </w:numPr>
        <w:pStyle w:val="Compact"/>
      </w:pPr>
      <w:r>
        <w:rPr>
          <w:bCs/>
          <w:b/>
        </w:rPr>
        <w:t xml:space="preserve">Warranty:</w:t>
      </w:r>
      <w:r>
        <w:t xml:space="preserve"> </w:t>
      </w:r>
      <w:r>
        <w:t xml:space="preserve">The Military Officer warrants that all advice, assessments, and deliverables provided under this Invoice were prepared with the skill, care, and diligence expected of a senior military professional with over twenty-five years of operational and strategic experience.</w:t>
      </w:r>
    </w:p>
    <w:p>
      <w:pPr>
        <w:pStyle w:val="FirstParagraph"/>
      </w:pPr>
      <w:r>
        <w:rPr>
          <w:bCs/>
          <w:b/>
        </w:rPr>
        <w:t xml:space="preserve">Payment Details:</w:t>
      </w:r>
      <w:r>
        <w:t xml:space="preserve"> </w:t>
      </w:r>
      <w:r>
        <w:t xml:space="preserve">Bank: Royal Bank of Canada | Branch: Toronto Downtown | Account Name: MacKenzie Defence &amp; Security Consulting Inc. | Transit: 00123 | Account: 456789012 | Routing: 00210</w:t>
      </w:r>
    </w:p>
    <w:bookmarkEnd w:id="26"/>
    <w:p>
      <w:pPr>
        <w:pStyle w:val="BodyText"/>
      </w:pPr>
      <w:r>
        <w:t xml:space="preserve">This Invoice was generated and issued in Canada Toronto, Ontario, Canada. MacKenzie Defence &amp; Security Consulting Inc. is a federally incorporated entity registered in the Province of Ontario. The Military Officer named herein operates under a valid Ontario Business Licence (No. ON-2025-448812) and holds active professional liability insurance through Intact Insurance Corporation (Policy No. IL-99201-CA).</w:t>
      </w:r>
    </w:p>
    <w:p>
      <w:pPr>
        <w:pStyle w:val="BodyText"/>
      </w:pPr>
      <w:r>
        <w:t xml:space="preserve">Thank you for your business. We appreciate the opportunity to serve as your trusted Military Officer advisory partner in Canada Toronto.</w:t>
      </w:r>
    </w:p>
    <w:p>
      <w:pPr>
        <w:pStyle w:val="BodyText"/>
      </w:pPr>
      <w:r>
        <w:t xml:space="preserve">— Col. (Ret.) David R. MacKenzie, Military Officer &amp; Principal Consultant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Strategic Consulting - Canada Toronto</dc:title>
  <dc:creator/>
  <dc:language>en</dc:language>
  <cp:keywords/>
  <dcterms:created xsi:type="dcterms:W3CDTF">2026-10-10T05:49:47Z</dcterms:created>
  <dcterms:modified xsi:type="dcterms:W3CDTF">2026-10-10T05:49:47Z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